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1A8648DB" w:rsidR="00AF4B07" w:rsidRPr="002207DA" w:rsidRDefault="00086A2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14</w:t>
            </w:r>
            <w:r w:rsidR="00BF103B">
              <w:rPr>
                <w:rFonts w:ascii="Arial" w:hAnsi="Arial" w:cs="Arial"/>
                <w:b/>
                <w:u w:val="single"/>
              </w:rPr>
              <w:t>/</w:t>
            </w:r>
            <w:r>
              <w:rPr>
                <w:rFonts w:ascii="Arial" w:hAnsi="Arial" w:cs="Arial"/>
                <w:b/>
                <w:u w:val="single"/>
              </w:rPr>
              <w:t>11</w:t>
            </w:r>
            <w:r w:rsidR="00BF103B">
              <w:rPr>
                <w:rFonts w:ascii="Arial" w:hAnsi="Arial" w:cs="Arial"/>
                <w:b/>
                <w:u w:val="single"/>
              </w:rPr>
              <w:t>/202</w:t>
            </w:r>
            <w:r w:rsidR="0052238D">
              <w:rPr>
                <w:rFonts w:ascii="Arial" w:hAnsi="Arial" w:cs="Arial"/>
                <w:b/>
                <w:u w:val="single"/>
              </w:rPr>
              <w:t>4</w:t>
            </w:r>
          </w:p>
        </w:tc>
      </w:tr>
    </w:tbl>
    <w:p w14:paraId="5845F95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2AA21EA9" w:rsidR="00AF4B07" w:rsidRPr="002207DA" w:rsidRDefault="00BF103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BF103B">
              <w:rPr>
                <w:rFonts w:ascii="Arial" w:hAnsi="Arial" w:cs="Arial"/>
              </w:rPr>
              <w:t>Mecánica de acuíferos y modelos hidrogeológicos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54BB80EF" w:rsidR="00AF4B07" w:rsidRPr="002207DA" w:rsidRDefault="00BF103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BF103B">
              <w:rPr>
                <w:rFonts w:ascii="Arial" w:hAnsi="Arial" w:cs="Arial"/>
              </w:rPr>
              <w:t>Acuíferos y Modelos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5423EF76" w:rsidR="00AF4B07" w:rsidRPr="002207DA" w:rsidRDefault="00BF103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2F42882C" w:rsidR="00AF4B07" w:rsidRPr="002207DA" w:rsidRDefault="00086A2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BF103B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3</w:t>
            </w:r>
            <w:r w:rsidR="00BF103B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04B8B010" w:rsidR="00AF4B07" w:rsidRPr="002207DA" w:rsidRDefault="00086A2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F103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07</w:t>
            </w:r>
            <w:r w:rsidR="00BF103B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BF103B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038DE692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1AA3DD93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F103B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28BF688D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1B780E39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BF103B" w:rsidRPr="002207DA" w:rsidRDefault="00BF103B" w:rsidP="00BF103B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46294C80" w:rsidR="00AF4B07" w:rsidRPr="002207DA" w:rsidRDefault="00017DC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347F4D2F" w:rsidR="00AF4B07" w:rsidRPr="002207DA" w:rsidRDefault="00017DC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0BF16CFA" w:rsidR="00AF4B07" w:rsidRPr="002207DA" w:rsidRDefault="00017DCB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</w:t>
      </w:r>
      <w:proofErr w:type="gramStart"/>
      <w:r w:rsidRPr="002207DA">
        <w:rPr>
          <w:rFonts w:ascii="Arial" w:hAnsi="Arial" w:cs="Arial"/>
        </w:rPr>
        <w:t>Actividades a realizar</w:t>
      </w:r>
      <w:proofErr w:type="gramEnd"/>
      <w:r w:rsidRPr="002207DA">
        <w:rPr>
          <w:rFonts w:ascii="Arial" w:hAnsi="Arial" w:cs="Arial"/>
        </w:rPr>
        <w:t xml:space="preserve">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3CF32CAA" w:rsidR="00AF4B07" w:rsidRPr="002207DA" w:rsidRDefault="00017DC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1A0C93FD" w:rsidR="00AF4B07" w:rsidRPr="002207DA" w:rsidRDefault="00017DC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5D27C522" w:rsidR="00AF4B07" w:rsidRPr="002207DA" w:rsidRDefault="00017DC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6966D94E" w:rsidR="00AF4B07" w:rsidRPr="002207DA" w:rsidRDefault="00017DCB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la escala de la </w:t>
      </w:r>
      <w:proofErr w:type="spellStart"/>
      <w:r w:rsidRPr="002207DA">
        <w:rPr>
          <w:rFonts w:ascii="Arial" w:hAnsi="Arial" w:cs="Arial"/>
        </w:rPr>
        <w:t>UdelaR</w:t>
      </w:r>
      <w:proofErr w:type="spellEnd"/>
      <w:r w:rsidRPr="002207DA">
        <w:rPr>
          <w:rFonts w:ascii="Arial" w:hAnsi="Arial" w:cs="Arial"/>
        </w:rPr>
        <w:t>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2F8D710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4F5F7F71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37DDB0D7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 el curso pueden participar estudiante de grado de la Licenciatura en Recursos Hídricos y Riego 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4CC29FDC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Mixta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lastRenderedPageBreak/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58E6A33E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Gamazo (gamazo@unorte.edu.uy)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6F8586F1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Pablo Gamazo (gamazo@unorte.edu.uy)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1EF6768F" w:rsidR="00AF4B07" w:rsidRPr="002207DA" w:rsidRDefault="0052238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Lucas </w:t>
            </w:r>
            <w:proofErr w:type="spellStart"/>
            <w:r>
              <w:rPr>
                <w:rFonts w:ascii="Arial" w:hAnsi="Arial" w:cs="Arial"/>
              </w:rPr>
              <w:t>Bessone</w:t>
            </w:r>
            <w:proofErr w:type="spellEnd"/>
            <w:r>
              <w:rPr>
                <w:rFonts w:ascii="Arial" w:hAnsi="Arial" w:cs="Arial"/>
              </w:rPr>
              <w:t xml:space="preserve"> (tema III)</w:t>
            </w: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689E03F4" w:rsidR="00AF4B07" w:rsidRPr="002207DA" w:rsidRDefault="0052238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MSc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="00B90092">
              <w:rPr>
                <w:rFonts w:ascii="Arial" w:hAnsi="Arial" w:cs="Arial"/>
              </w:rPr>
              <w:t>Julián Ramos</w:t>
            </w: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7A55C4C8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>Dotar a los estudiantes de los conocimientos necesarios para entender los fenómenos de flujo y transporte en medios porosos en general y de acuíferos en particular. El estudiante desarrollará las capacidades necesarias para trabajar en la gestión de los recursos hídricos subterráneos (diseño e hidrodinámica de captaciones, recarga, interacción con cuerpos de agua superficiales, transporte de contaminantes, modelación numérica aplicada, estudios de vulnerabilidad)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7B2C390E" w:rsidR="00AF4B07" w:rsidRPr="002207DA" w:rsidRDefault="007752D8" w:rsidP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El curso se desarrollará en 14 semanas con una carga horaria de 6 horas por semana. En el 60% de las clases serán de carácter teórico donde se introducirán los conceptos y se explicarán los métodos buscando generar instancias de participación e intercambio con los alumnos. El 40% de las clases serán de carácter práctico y la mayoría de las actividades requerirán el uso de computadoras para el desarrollo de códigos y para la utilización de aplicaciones técnicas. El curso implica la realización de trabajos entregables que </w:t>
            </w:r>
            <w:r>
              <w:rPr>
                <w:rFonts w:ascii="Arial" w:hAnsi="Arial" w:cs="Arial"/>
              </w:rPr>
              <w:t>requieren</w:t>
            </w:r>
            <w:r w:rsidRPr="007752D8">
              <w:rPr>
                <w:rFonts w:ascii="Arial" w:hAnsi="Arial" w:cs="Arial"/>
              </w:rPr>
              <w:t xml:space="preserve"> una dedicación fuera del aula equivalente a las actividades presenciales.</w:t>
            </w: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C7A44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I. Introducción: Agua subterránea en el ciclo hidrológico. Definición de acuíferos y diferentes tipos</w:t>
            </w:r>
          </w:p>
          <w:p w14:paraId="2B6B7B30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lastRenderedPageBreak/>
              <w:t xml:space="preserve">        II. Movimiento del agua subterránea: Ley de Darcy. Mecánica de pozos en estado estacionario. Mecánica de pozos en estado transitorio. Métodos de superposición.</w:t>
            </w:r>
          </w:p>
          <w:p w14:paraId="5561BD46" w14:textId="1AB62240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III. </w:t>
            </w:r>
            <w:r w:rsidR="00B90092">
              <w:rPr>
                <w:rFonts w:ascii="Arial" w:hAnsi="Arial" w:cs="Arial"/>
              </w:rPr>
              <w:t>E</w:t>
            </w:r>
            <w:r w:rsidRPr="007752D8">
              <w:rPr>
                <w:rFonts w:ascii="Arial" w:hAnsi="Arial" w:cs="Arial"/>
              </w:rPr>
              <w:t>cuación general del Transporte</w:t>
            </w:r>
            <w:r w:rsidR="00B90092">
              <w:rPr>
                <w:rFonts w:ascii="Arial" w:hAnsi="Arial" w:cs="Arial"/>
              </w:rPr>
              <w:t xml:space="preserve"> y procesos de transporte en medios porosos</w:t>
            </w:r>
          </w:p>
          <w:p w14:paraId="21A7024B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IV. Modelos hidrogeológicos: Introducción a Modelos. Diferencias Finitas y otros métodos.</w:t>
            </w:r>
          </w:p>
          <w:p w14:paraId="1F0FC540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V. Proceso de modelación </w:t>
            </w:r>
          </w:p>
          <w:p w14:paraId="3B0EDF19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VI. Intrusión marina</w:t>
            </w:r>
          </w:p>
          <w:p w14:paraId="44919A6C" w14:textId="584CB37C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VII. Aguas subterráneas en Uruguay</w:t>
            </w:r>
          </w:p>
          <w:p w14:paraId="20DE00FF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VIII. Flujo no saturado y multifase</w:t>
            </w:r>
          </w:p>
          <w:p w14:paraId="7FD8EF5B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IX. Construcción de pozos</w:t>
            </w:r>
          </w:p>
          <w:p w14:paraId="40636328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X. Estimación de la recarga</w:t>
            </w:r>
          </w:p>
          <w:p w14:paraId="6E9EBA8B" w14:textId="4C6689C5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        XI. Vulnerabilidad de acuíferos</w:t>
            </w:r>
          </w:p>
          <w:p w14:paraId="5A6751F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FE1E16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E5D4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Hidrogeología – </w:t>
            </w:r>
            <w:proofErr w:type="spellStart"/>
            <w:r w:rsidRPr="007752D8">
              <w:rPr>
                <w:rFonts w:ascii="Arial" w:hAnsi="Arial" w:cs="Arial"/>
              </w:rPr>
              <w:t>Escuder</w:t>
            </w:r>
            <w:proofErr w:type="spellEnd"/>
            <w:r w:rsidRPr="007752D8">
              <w:rPr>
                <w:rFonts w:ascii="Arial" w:hAnsi="Arial" w:cs="Arial"/>
              </w:rPr>
              <w:t>, R., Fraile, J., Jordana S., Ribera F., Sánchez-Villa, X. y Vázquez-</w:t>
            </w:r>
            <w:proofErr w:type="spellStart"/>
            <w:r w:rsidRPr="007752D8">
              <w:rPr>
                <w:rFonts w:ascii="Arial" w:hAnsi="Arial" w:cs="Arial"/>
              </w:rPr>
              <w:t>Suñé</w:t>
            </w:r>
            <w:proofErr w:type="spellEnd"/>
            <w:r w:rsidRPr="007752D8">
              <w:rPr>
                <w:rFonts w:ascii="Arial" w:hAnsi="Arial" w:cs="Arial"/>
              </w:rPr>
              <w:t>, E. - Fundación Centro Internacional de Hidrología Subterránea – 978849214698 – 2009</w:t>
            </w:r>
          </w:p>
          <w:p w14:paraId="5C85C54A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AU"/>
              </w:rPr>
            </w:pPr>
            <w:r w:rsidRPr="007752D8">
              <w:rPr>
                <w:rFonts w:ascii="Arial" w:hAnsi="Arial" w:cs="Arial"/>
                <w:lang w:val="en-AU"/>
              </w:rPr>
              <w:t>The Handbook of Groundwater Engineering, Third Edition -Cushman, J. H., Tartakovsky, D. M. - CRC Press - 2016</w:t>
            </w:r>
          </w:p>
          <w:p w14:paraId="12EE9F79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AU"/>
              </w:rPr>
            </w:pPr>
            <w:r w:rsidRPr="007752D8">
              <w:rPr>
                <w:rFonts w:ascii="Arial" w:hAnsi="Arial" w:cs="Arial"/>
              </w:rPr>
              <w:t xml:space="preserve">Hidrología Subterránea Tomo I y II, 2ra. Edición corregida– Custodio, E y Llamas M.R. - Ed. </w:t>
            </w:r>
            <w:r w:rsidRPr="007752D8">
              <w:rPr>
                <w:rFonts w:ascii="Arial" w:hAnsi="Arial" w:cs="Arial"/>
                <w:lang w:val="en-AU"/>
              </w:rPr>
              <w:t>Omega - 9788428204477 – 1996</w:t>
            </w:r>
          </w:p>
          <w:p w14:paraId="67689489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AU"/>
              </w:rPr>
            </w:pPr>
            <w:proofErr w:type="spellStart"/>
            <w:r w:rsidRPr="007752D8">
              <w:rPr>
                <w:rFonts w:ascii="Arial" w:hAnsi="Arial" w:cs="Arial"/>
                <w:lang w:val="en-AU"/>
              </w:rPr>
              <w:t>Modeling</w:t>
            </w:r>
            <w:proofErr w:type="spellEnd"/>
            <w:r w:rsidRPr="007752D8">
              <w:rPr>
                <w:rFonts w:ascii="Arial" w:hAnsi="Arial" w:cs="Arial"/>
                <w:lang w:val="en-AU"/>
              </w:rPr>
              <w:t xml:space="preserve"> Groundwater Flow and Contaminant Transport - Bear, J., Cheng, A. H. - Springer – 9781402066825 - 2010</w:t>
            </w:r>
          </w:p>
          <w:p w14:paraId="321732B9" w14:textId="77777777" w:rsidR="007752D8" w:rsidRPr="007752D8" w:rsidRDefault="007752D8" w:rsidP="007752D8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AU"/>
              </w:rPr>
            </w:pPr>
            <w:r w:rsidRPr="007752D8">
              <w:rPr>
                <w:rFonts w:ascii="Arial" w:hAnsi="Arial" w:cs="Arial"/>
                <w:lang w:val="en-AU"/>
              </w:rPr>
              <w:t xml:space="preserve">Dynamics of Fluids in Porous Media – Bear, J. - Dove Publications, Inc. </w:t>
            </w:r>
            <w:proofErr w:type="gramStart"/>
            <w:r w:rsidRPr="007752D8">
              <w:rPr>
                <w:rFonts w:ascii="Arial" w:hAnsi="Arial" w:cs="Arial"/>
                <w:lang w:val="en-AU"/>
              </w:rPr>
              <w:t>-  1989</w:t>
            </w:r>
            <w:proofErr w:type="gramEnd"/>
          </w:p>
          <w:p w14:paraId="53FB84A5" w14:textId="5BE58F53" w:rsidR="00AF4B07" w:rsidRPr="007752D8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AU"/>
              </w:rPr>
            </w:pPr>
            <w:r w:rsidRPr="007752D8">
              <w:rPr>
                <w:rFonts w:ascii="Arial" w:hAnsi="Arial" w:cs="Arial"/>
                <w:lang w:val="en-AU"/>
              </w:rPr>
              <w:t xml:space="preserve">Theory of Groundwater Flow - </w:t>
            </w:r>
            <w:proofErr w:type="spellStart"/>
            <w:r w:rsidRPr="007752D8">
              <w:rPr>
                <w:rFonts w:ascii="Arial" w:hAnsi="Arial" w:cs="Arial"/>
                <w:lang w:val="en-AU"/>
              </w:rPr>
              <w:t>Verruijt</w:t>
            </w:r>
            <w:proofErr w:type="spellEnd"/>
            <w:r w:rsidRPr="007752D8">
              <w:rPr>
                <w:rFonts w:ascii="Arial" w:hAnsi="Arial" w:cs="Arial"/>
                <w:lang w:val="en-AU"/>
              </w:rPr>
              <w:t>, A. - Macmillan Education UK – 978134900175-0 – 1970</w:t>
            </w:r>
          </w:p>
          <w:p w14:paraId="731C8BF9" w14:textId="77777777" w:rsidR="00AF4B07" w:rsidRPr="007752D8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AU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56D0A4EC" w:rsidR="00AF4B07" w:rsidRPr="002207DA" w:rsidRDefault="007752D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7752D8">
              <w:rPr>
                <w:rFonts w:ascii="Arial" w:hAnsi="Arial" w:cs="Arial"/>
              </w:rPr>
              <w:t xml:space="preserve">Los alumnos deberán contar con conocimientos básicos a nivel de cálculo integral y diferencial, algebra y geología. Son recomendados, pero no excluyentes, conocimientos previos en hidrología, programación </w:t>
            </w:r>
            <w:r>
              <w:rPr>
                <w:rFonts w:ascii="Arial" w:hAnsi="Arial" w:cs="Arial"/>
              </w:rPr>
              <w:t>y/</w:t>
            </w:r>
            <w:r w:rsidRPr="007752D8">
              <w:rPr>
                <w:rFonts w:ascii="Arial" w:hAnsi="Arial" w:cs="Arial"/>
              </w:rPr>
              <w:t>o manejo de planillas de cálculo.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¿El curso se dictó y cursó con normalidad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¿Fue necesario introducir cambios en el curso durante su realización, </w:t>
      </w:r>
      <w:proofErr w:type="gramStart"/>
      <w:r w:rsidRPr="002207DA">
        <w:rPr>
          <w:rFonts w:ascii="Arial" w:hAnsi="Arial" w:cs="Arial"/>
        </w:rPr>
        <w:t>en relación a</w:t>
      </w:r>
      <w:proofErr w:type="gramEnd"/>
      <w:r w:rsidRPr="002207DA">
        <w:rPr>
          <w:rFonts w:ascii="Arial" w:hAnsi="Arial" w:cs="Arial"/>
        </w:rPr>
        <w:t xml:space="preserve">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107FD5DC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Cursos semestrales y no intensivos (mayor a 2 semanas de duración): Los créditos correspondientes al curso se calculan multiplicando la carga horaria total del curso por 1,8 y dividiéndolas entre 15. La carga horaria total del curso incluye clases teóricas y prácticas (dentro de las clases prácticas se deben incluir las salidas de campo).</w:t>
      </w:r>
    </w:p>
    <w:p w14:paraId="133C0B34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Cursos intensivos (de 1 a 2 semanas de duración): Los créditos correspondientes al curso se calculan tomando la carga horaria total del curso dividido entre 15. La carga horaria total del curso incluye clases teóricas, prácticas y las horas no presenciales determinadas por el docente.</w:t>
      </w:r>
    </w:p>
    <w:p w14:paraId="018678CD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•</w:t>
      </w:r>
      <w:r w:rsidRPr="002207DA">
        <w:rPr>
          <w:rFonts w:ascii="Arial" w:hAnsi="Arial" w:cs="Arial"/>
        </w:rPr>
        <w:tab/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8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DD4E" w14:textId="77777777" w:rsidR="00453974" w:rsidRDefault="00453974">
      <w:r>
        <w:separator/>
      </w:r>
    </w:p>
  </w:endnote>
  <w:endnote w:type="continuationSeparator" w:id="0">
    <w:p w14:paraId="0A73341B" w14:textId="77777777" w:rsidR="00453974" w:rsidRDefault="0045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D64A5" w14:textId="77777777" w:rsidR="00453974" w:rsidRDefault="00453974">
      <w:r>
        <w:rPr>
          <w:color w:val="000000"/>
        </w:rPr>
        <w:separator/>
      </w:r>
    </w:p>
  </w:footnote>
  <w:footnote w:type="continuationSeparator" w:id="0">
    <w:p w14:paraId="1BAC4FD3" w14:textId="77777777" w:rsidR="00453974" w:rsidRDefault="0045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8B51E6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8B51E6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8B51E6" w:rsidRDefault="008B51E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8B51E6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8B51E6" w:rsidRDefault="008B51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17DCB"/>
    <w:rsid w:val="00022329"/>
    <w:rsid w:val="000438E9"/>
    <w:rsid w:val="00086A2B"/>
    <w:rsid w:val="000D1734"/>
    <w:rsid w:val="00166461"/>
    <w:rsid w:val="002207DA"/>
    <w:rsid w:val="00303FCB"/>
    <w:rsid w:val="003D353C"/>
    <w:rsid w:val="00453974"/>
    <w:rsid w:val="0052238D"/>
    <w:rsid w:val="005D767A"/>
    <w:rsid w:val="006279A0"/>
    <w:rsid w:val="007752D8"/>
    <w:rsid w:val="0078659E"/>
    <w:rsid w:val="007D7C43"/>
    <w:rsid w:val="008B51E6"/>
    <w:rsid w:val="009E3711"/>
    <w:rsid w:val="00A54977"/>
    <w:rsid w:val="00AF4B07"/>
    <w:rsid w:val="00B20E20"/>
    <w:rsid w:val="00B90092"/>
    <w:rsid w:val="00BF103B"/>
    <w:rsid w:val="00C15B30"/>
    <w:rsid w:val="00C21938"/>
    <w:rsid w:val="00D8127F"/>
    <w:rsid w:val="00DD3F56"/>
    <w:rsid w:val="00E10ED5"/>
    <w:rsid w:val="00E70A6C"/>
    <w:rsid w:val="00EB4AAF"/>
    <w:rsid w:val="00F2458E"/>
    <w:rsid w:val="00F65B06"/>
    <w:rsid w:val="00F817CC"/>
    <w:rsid w:val="00FD2743"/>
    <w:rsid w:val="00FE1E1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23EC-F47D-45FA-AA0F-C1DBC907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2024-11-14T14:06:00Z</dcterms:created>
  <dcterms:modified xsi:type="dcterms:W3CDTF">2024-11-14T14:06:00Z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