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BB2B" w14:textId="77777777" w:rsidR="00AF4B07" w:rsidRPr="002207DA" w:rsidRDefault="00DD3F56">
      <w:pPr>
        <w:pStyle w:val="Standarduser"/>
        <w:spacing w:before="120" w:after="120"/>
        <w:ind w:left="60"/>
        <w:jc w:val="center"/>
        <w:rPr>
          <w:b/>
          <w:color w:val="0000FF"/>
          <w:sz w:val="22"/>
          <w:szCs w:val="22"/>
        </w:rPr>
      </w:pPr>
      <w:r w:rsidRPr="002207DA">
        <w:rPr>
          <w:b/>
          <w:color w:val="0000FF"/>
          <w:sz w:val="22"/>
          <w:szCs w:val="22"/>
        </w:rPr>
        <w:t>AREA GEOCIENCIAS</w:t>
      </w:r>
    </w:p>
    <w:p w14:paraId="605F3FC7" w14:textId="77777777" w:rsidR="00AF4B07" w:rsidRPr="002207DA" w:rsidRDefault="00DD3F56">
      <w:pPr>
        <w:pStyle w:val="Standarduser"/>
        <w:spacing w:before="120" w:after="120"/>
        <w:jc w:val="center"/>
      </w:pPr>
      <w:r w:rsidRPr="002207DA">
        <w:rPr>
          <w:b/>
          <w:sz w:val="22"/>
          <w:szCs w:val="22"/>
        </w:rPr>
        <w:t>FORMULARIO PARA PRESENTACIÓN DE CURSOS DE POSGRADO</w:t>
      </w:r>
    </w:p>
    <w:p w14:paraId="411EA982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5059AF8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FECHA DE PRESENTACIÓN:</w:t>
      </w:r>
    </w:p>
    <w:tbl>
      <w:tblPr>
        <w:tblW w:w="3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</w:tblGrid>
      <w:tr w:rsidR="00AF4B07" w:rsidRPr="002207DA" w14:paraId="158CDEA4" w14:textId="77777777" w:rsidTr="000D173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A216" w14:textId="2F3E48B7" w:rsidR="00AF4B07" w:rsidRPr="00C11820" w:rsidRDefault="00C1182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C11820">
              <w:rPr>
                <w:rFonts w:ascii="Arial" w:hAnsi="Arial" w:cs="Arial"/>
              </w:rPr>
              <w:t>30.06.2023</w:t>
            </w:r>
          </w:p>
        </w:tc>
      </w:tr>
    </w:tbl>
    <w:p w14:paraId="5845F957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0F7B6E8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1) DATOS SOBRE EL CURSO</w:t>
      </w:r>
    </w:p>
    <w:p w14:paraId="0D4CD8F0" w14:textId="54CDCEAB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1.1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</w:t>
      </w:r>
      <w:r w:rsidR="00946E6E">
        <w:rPr>
          <w:rFonts w:ascii="Arial" w:hAnsi="Arial" w:cs="Arial"/>
        </w:rPr>
        <w:t>Nombre del curso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B9571A5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2E20" w14:textId="1D0198E4" w:rsidR="00590F10" w:rsidRPr="002207DA" w:rsidRDefault="00946E6E" w:rsidP="00946E6E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Efectos del cambio climático sobre comunidades acuáticas: un abordaje experimental</w:t>
            </w:r>
          </w:p>
        </w:tc>
      </w:tr>
    </w:tbl>
    <w:p w14:paraId="7F358F9E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1.2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abreviado (</w:t>
      </w:r>
      <w:proofErr w:type="spellStart"/>
      <w:r w:rsidRPr="002207DA">
        <w:rPr>
          <w:rFonts w:ascii="Arial" w:hAnsi="Arial" w:cs="Arial"/>
        </w:rPr>
        <w:t>máx</w:t>
      </w:r>
      <w:proofErr w:type="spellEnd"/>
      <w:r w:rsidRPr="002207DA">
        <w:rPr>
          <w:rFonts w:ascii="Arial" w:hAnsi="Arial" w:cs="Arial"/>
        </w:rPr>
        <w:t xml:space="preserve"> 20 caracteres, para Bedelía):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6DEB90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A7F2" w14:textId="2488A653" w:rsidR="00AF4B07" w:rsidRPr="002207DA" w:rsidRDefault="00946E6E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Cambio climático y </w:t>
            </w:r>
            <w:r w:rsidR="00F806F7">
              <w:rPr>
                <w:rFonts w:ascii="Arial" w:hAnsi="Arial" w:cs="Arial"/>
              </w:rPr>
              <w:t>agua</w:t>
            </w:r>
          </w:p>
        </w:tc>
      </w:tr>
    </w:tbl>
    <w:p w14:paraId="296CC0F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1.3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Cupo de estudiantes (si corresponde):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3D724C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CC5F" w14:textId="0B856A18" w:rsidR="00AF4B07" w:rsidRPr="002207DA" w:rsidRDefault="00656C63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7FAB2FC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1.4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Fecha</w:t>
      </w:r>
      <w:r w:rsidR="002207DA" w:rsidRPr="002207DA">
        <w:rPr>
          <w:rFonts w:ascii="Arial" w:hAnsi="Arial" w:cs="Arial"/>
        </w:rPr>
        <w:t>s previstas para la realización:</w:t>
      </w:r>
    </w:p>
    <w:tbl>
      <w:tblPr>
        <w:tblW w:w="5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2042"/>
      </w:tblGrid>
      <w:tr w:rsidR="00AF4B07" w:rsidRPr="002207DA" w14:paraId="60CE5A62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4A95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inicio</w:t>
            </w:r>
            <w:r w:rsidRPr="002207DA">
              <w:rPr>
                <w:rFonts w:ascii="Arial" w:hAnsi="Arial" w:cs="Arial"/>
              </w:rPr>
              <w:t xml:space="preserve"> 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207DA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0D2A7" w14:textId="15A111F3" w:rsidR="00AF4B07" w:rsidRPr="002207DA" w:rsidRDefault="00431429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9.10.2023</w:t>
            </w:r>
          </w:p>
        </w:tc>
      </w:tr>
      <w:tr w:rsidR="00AF4B07" w:rsidRPr="002207DA" w14:paraId="0498A57E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E5C68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Finalización</w:t>
            </w:r>
            <w:r w:rsidRPr="002207DA">
              <w:rPr>
                <w:rFonts w:ascii="Arial" w:hAnsi="Arial" w:cs="Arial"/>
              </w:rPr>
              <w:t xml:space="preserve"> 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207DA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BF6D3" w14:textId="770079BC" w:rsidR="00AF4B07" w:rsidRPr="002207DA" w:rsidRDefault="00431429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27.10.2023</w:t>
            </w:r>
          </w:p>
        </w:tc>
      </w:tr>
    </w:tbl>
    <w:p w14:paraId="6F118606" w14:textId="2479448A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1.5</w:t>
      </w:r>
      <w:r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Horario (tentativo</w:t>
      </w:r>
      <w:r w:rsidR="00F806F7">
        <w:rPr>
          <w:rFonts w:ascii="Arial" w:hAnsi="Arial" w:cs="Arial"/>
        </w:rPr>
        <w:t>, a definir con los estudiantes</w:t>
      </w:r>
      <w:r w:rsidRPr="002207DA">
        <w:rPr>
          <w:rFonts w:ascii="Arial" w:hAnsi="Arial" w:cs="Arial"/>
        </w:rPr>
        <w:t>):</w:t>
      </w:r>
    </w:p>
    <w:tbl>
      <w:tblPr>
        <w:tblW w:w="849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995"/>
        <w:gridCol w:w="995"/>
        <w:gridCol w:w="995"/>
        <w:gridCol w:w="995"/>
        <w:gridCol w:w="995"/>
        <w:gridCol w:w="995"/>
        <w:gridCol w:w="995"/>
      </w:tblGrid>
      <w:tr w:rsidR="00AF4B07" w:rsidRPr="002207DA" w14:paraId="659F296C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4F775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Horarios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A0F788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Lu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44CA1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A8CBC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5C5B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Ju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3FBB67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Vi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52CCB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4417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Do</w:t>
            </w:r>
          </w:p>
        </w:tc>
      </w:tr>
      <w:tr w:rsidR="002E7C77" w:rsidRPr="002207DA" w14:paraId="53E9B521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4F5DE" w14:textId="77777777" w:rsidR="002E7C77" w:rsidRPr="002207DA" w:rsidRDefault="002E7C77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Inicio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591320" w14:textId="23D0FD1A" w:rsidR="002E7C77" w:rsidRPr="002207DA" w:rsidRDefault="00800313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3F856C" w14:textId="481C9418" w:rsidR="002E7C77" w:rsidRPr="002207DA" w:rsidRDefault="00800313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EE4F0F" w14:textId="7AF35F97" w:rsidR="002E7C77" w:rsidRPr="002207DA" w:rsidRDefault="00800313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5BCF95" w14:textId="549CEA63" w:rsidR="002E7C77" w:rsidRPr="002207DA" w:rsidRDefault="00800313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377EDD" w14:textId="6C7F2B83" w:rsidR="002E7C77" w:rsidRPr="002207DA" w:rsidRDefault="00800313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0AC851" w14:textId="77777777" w:rsidR="002E7C77" w:rsidRPr="002207DA" w:rsidRDefault="002E7C77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391B6" w14:textId="77777777" w:rsidR="002E7C77" w:rsidRPr="002207DA" w:rsidRDefault="002E7C77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7C77" w:rsidRPr="002207DA" w14:paraId="07D8B87F" w14:textId="77777777"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68DCD" w14:textId="77777777" w:rsidR="002E7C77" w:rsidRPr="002207DA" w:rsidRDefault="002E7C77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Fin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0AD102" w14:textId="14163F7E" w:rsidR="002E7C77" w:rsidRPr="002207DA" w:rsidRDefault="00800313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0103E7" w14:textId="0E93AA7D" w:rsidR="002E7C77" w:rsidRPr="002207DA" w:rsidRDefault="00800313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FAE61" w14:textId="7169C7DE" w:rsidR="002E7C77" w:rsidRPr="002207DA" w:rsidRDefault="00800313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D183A6" w14:textId="41DF689C" w:rsidR="002E7C77" w:rsidRPr="002207DA" w:rsidRDefault="00800313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B44AED" w14:textId="50EE9F8F" w:rsidR="002E7C77" w:rsidRPr="002207DA" w:rsidRDefault="00800313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B34D9" w14:textId="77777777" w:rsidR="002E7C77" w:rsidRPr="002207DA" w:rsidRDefault="002E7C77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173F00" w14:textId="77777777" w:rsidR="002E7C77" w:rsidRPr="002207DA" w:rsidRDefault="002E7C77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7C77" w:rsidRPr="002207DA" w14:paraId="31F6EBFF" w14:textId="77777777" w:rsidTr="002E7C77"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8D9B29" w14:textId="77777777" w:rsidR="002E7C77" w:rsidRPr="00695D1B" w:rsidRDefault="002E7C77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695D1B">
              <w:rPr>
                <w:rFonts w:ascii="Arial" w:hAnsi="Arial" w:cs="Arial"/>
                <w:b/>
              </w:rPr>
              <w:t>Horarios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861BE8" w14:textId="77777777" w:rsidR="002E7C77" w:rsidRPr="00695D1B" w:rsidRDefault="002E7C77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695D1B">
              <w:rPr>
                <w:rFonts w:ascii="Arial" w:hAnsi="Arial" w:cs="Arial"/>
                <w:b/>
              </w:rPr>
              <w:t>Lu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E96CF8" w14:textId="77777777" w:rsidR="002E7C77" w:rsidRPr="00695D1B" w:rsidRDefault="002E7C77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695D1B">
              <w:rPr>
                <w:rFonts w:ascii="Arial" w:hAnsi="Arial" w:cs="Arial"/>
                <w:b/>
              </w:rPr>
              <w:t>Ma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065032" w14:textId="77777777" w:rsidR="002E7C77" w:rsidRPr="00695D1B" w:rsidRDefault="002E7C77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695D1B">
              <w:rPr>
                <w:rFonts w:ascii="Arial" w:hAnsi="Arial" w:cs="Arial"/>
                <w:b/>
              </w:rPr>
              <w:t>Mi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3F4970" w14:textId="77777777" w:rsidR="002E7C77" w:rsidRPr="00695D1B" w:rsidRDefault="002E7C77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695D1B">
              <w:rPr>
                <w:rFonts w:ascii="Arial" w:hAnsi="Arial" w:cs="Arial"/>
                <w:b/>
              </w:rPr>
              <w:t>Ju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F0F4CC" w14:textId="77777777" w:rsidR="002E7C77" w:rsidRPr="00695D1B" w:rsidRDefault="002E7C77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695D1B">
              <w:rPr>
                <w:rFonts w:ascii="Arial" w:hAnsi="Arial" w:cs="Arial"/>
                <w:b/>
              </w:rPr>
              <w:t>Vi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EC2F44" w14:textId="77777777" w:rsidR="002E7C77" w:rsidRPr="00695D1B" w:rsidRDefault="002E7C77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695D1B">
              <w:rPr>
                <w:rFonts w:ascii="Arial" w:hAnsi="Arial" w:cs="Arial"/>
                <w:b/>
              </w:rPr>
              <w:t>Sa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DE4481" w14:textId="77777777" w:rsidR="002E7C77" w:rsidRPr="00695D1B" w:rsidRDefault="002E7C77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695D1B">
              <w:rPr>
                <w:rFonts w:ascii="Arial" w:hAnsi="Arial" w:cs="Arial"/>
                <w:b/>
              </w:rPr>
              <w:t>Do</w:t>
            </w:r>
          </w:p>
        </w:tc>
      </w:tr>
      <w:tr w:rsidR="002E7C77" w:rsidRPr="002207DA" w14:paraId="6178F184" w14:textId="77777777" w:rsidTr="002E7C77"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C85506" w14:textId="77777777" w:rsidR="002E7C77" w:rsidRPr="002207DA" w:rsidRDefault="002E7C77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Inicio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72BAA4" w14:textId="30B28A41" w:rsidR="002E7C77" w:rsidRPr="002207DA" w:rsidRDefault="00695D1B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6F2243" w14:textId="17AE84CD" w:rsidR="002E7C77" w:rsidRPr="002207DA" w:rsidRDefault="00695D1B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822169" w14:textId="3014C3D7" w:rsidR="002E7C77" w:rsidRPr="002207DA" w:rsidRDefault="00695D1B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486E0B" w14:textId="0F4562B3" w:rsidR="002E7C77" w:rsidRPr="002207DA" w:rsidRDefault="00695D1B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B27EF9" w14:textId="4B338F3F" w:rsidR="002E7C77" w:rsidRPr="002207DA" w:rsidRDefault="00695D1B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BE14A3" w14:textId="77777777" w:rsidR="002E7C77" w:rsidRPr="002207DA" w:rsidRDefault="002E7C77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2A8690" w14:textId="77777777" w:rsidR="002E7C77" w:rsidRPr="002207DA" w:rsidRDefault="002E7C77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7C77" w:rsidRPr="002207DA" w14:paraId="4C5AA486" w14:textId="77777777" w:rsidTr="002E7C77"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D63F6C" w14:textId="77777777" w:rsidR="002E7C77" w:rsidRPr="002207DA" w:rsidRDefault="002E7C77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Fin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4C16B4" w14:textId="4F3AA3E6" w:rsidR="002E7C77" w:rsidRPr="002207DA" w:rsidRDefault="00695D1B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0FFCFE" w14:textId="57B75A6C" w:rsidR="002E7C77" w:rsidRPr="002207DA" w:rsidRDefault="00695D1B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694AA7" w14:textId="3C93DB00" w:rsidR="002E7C77" w:rsidRPr="002207DA" w:rsidRDefault="00695D1B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61D338" w14:textId="2A95ADA6" w:rsidR="002E7C77" w:rsidRPr="002207DA" w:rsidRDefault="00695D1B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F0CA36" w14:textId="1042E39D" w:rsidR="002E7C77" w:rsidRPr="002207DA" w:rsidRDefault="00695D1B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8A3C4E" w14:textId="77777777" w:rsidR="002E7C77" w:rsidRPr="002207DA" w:rsidRDefault="002E7C77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384924" w14:textId="77777777" w:rsidR="002E7C77" w:rsidRPr="002207DA" w:rsidRDefault="002E7C77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7C77" w:rsidRPr="002207DA" w14:paraId="585FBB18" w14:textId="77777777" w:rsidTr="002E7C77"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66763B" w14:textId="77777777" w:rsidR="002E7C77" w:rsidRPr="00B11E47" w:rsidRDefault="002E7C77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B11E47">
              <w:rPr>
                <w:rFonts w:ascii="Arial" w:hAnsi="Arial" w:cs="Arial"/>
                <w:b/>
              </w:rPr>
              <w:t>Horarios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D28F33" w14:textId="77777777" w:rsidR="002E7C77" w:rsidRPr="00B11E47" w:rsidRDefault="002E7C77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B11E47">
              <w:rPr>
                <w:rFonts w:ascii="Arial" w:hAnsi="Arial" w:cs="Arial"/>
                <w:b/>
              </w:rPr>
              <w:t>Lu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CC623B" w14:textId="77777777" w:rsidR="002E7C77" w:rsidRPr="00B11E47" w:rsidRDefault="002E7C77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B11E47">
              <w:rPr>
                <w:rFonts w:ascii="Arial" w:hAnsi="Arial" w:cs="Arial"/>
                <w:b/>
              </w:rPr>
              <w:t>Ma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E14EF2" w14:textId="77777777" w:rsidR="002E7C77" w:rsidRPr="00B11E47" w:rsidRDefault="002E7C77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B11E47">
              <w:rPr>
                <w:rFonts w:ascii="Arial" w:hAnsi="Arial" w:cs="Arial"/>
                <w:b/>
              </w:rPr>
              <w:t>Mi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9E67C5" w14:textId="77777777" w:rsidR="002E7C77" w:rsidRPr="00B11E47" w:rsidRDefault="002E7C77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B11E47">
              <w:rPr>
                <w:rFonts w:ascii="Arial" w:hAnsi="Arial" w:cs="Arial"/>
                <w:b/>
              </w:rPr>
              <w:t>Ju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FF9979" w14:textId="77777777" w:rsidR="002E7C77" w:rsidRPr="00B11E47" w:rsidRDefault="002E7C77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B11E47">
              <w:rPr>
                <w:rFonts w:ascii="Arial" w:hAnsi="Arial" w:cs="Arial"/>
                <w:b/>
              </w:rPr>
              <w:t>Vi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AFBDE7" w14:textId="77777777" w:rsidR="002E7C77" w:rsidRPr="00B11E47" w:rsidRDefault="002E7C77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B11E47">
              <w:rPr>
                <w:rFonts w:ascii="Arial" w:hAnsi="Arial" w:cs="Arial"/>
                <w:b/>
              </w:rPr>
              <w:t>Sa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152601" w14:textId="77777777" w:rsidR="002E7C77" w:rsidRPr="00B11E47" w:rsidRDefault="002E7C77" w:rsidP="002E7C7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B11E47">
              <w:rPr>
                <w:rFonts w:ascii="Arial" w:hAnsi="Arial" w:cs="Arial"/>
                <w:b/>
              </w:rPr>
              <w:t>Do</w:t>
            </w:r>
          </w:p>
        </w:tc>
      </w:tr>
      <w:tr w:rsidR="00F806F7" w:rsidRPr="002207DA" w14:paraId="5BC89A75" w14:textId="77777777" w:rsidTr="002E7C77"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99738A" w14:textId="77777777" w:rsidR="00F806F7" w:rsidRPr="002207DA" w:rsidRDefault="00F806F7" w:rsidP="00F806F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Inicio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F25D94" w14:textId="5B72288C" w:rsidR="00F806F7" w:rsidRPr="002207DA" w:rsidRDefault="00F806F7" w:rsidP="00F806F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FCFF10" w14:textId="0285A0B0" w:rsidR="00F806F7" w:rsidRPr="002207DA" w:rsidRDefault="00F806F7" w:rsidP="00F806F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D1CBDF" w14:textId="4F712845" w:rsidR="00F806F7" w:rsidRPr="002207DA" w:rsidRDefault="00F806F7" w:rsidP="00F806F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8719A8" w14:textId="324D02CC" w:rsidR="00F806F7" w:rsidRPr="002207DA" w:rsidRDefault="00F806F7" w:rsidP="00F806F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F00E63" w14:textId="158A295C" w:rsidR="00F806F7" w:rsidRPr="002207DA" w:rsidRDefault="00F806F7" w:rsidP="00F806F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64A2F6" w14:textId="77777777" w:rsidR="00F806F7" w:rsidRPr="002207DA" w:rsidRDefault="00F806F7" w:rsidP="00F806F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CC9DA6" w14:textId="77777777" w:rsidR="00F806F7" w:rsidRPr="002207DA" w:rsidRDefault="00F806F7" w:rsidP="00F806F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806F7" w:rsidRPr="002207DA" w14:paraId="1F23DF99" w14:textId="77777777" w:rsidTr="002E7C77"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DA5A57" w14:textId="77777777" w:rsidR="00F806F7" w:rsidRPr="002207DA" w:rsidRDefault="00F806F7" w:rsidP="00F806F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Fin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C87B4C" w14:textId="552A1791" w:rsidR="00F806F7" w:rsidRPr="002207DA" w:rsidRDefault="00F806F7" w:rsidP="00F806F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2ED539" w14:textId="6AA849F4" w:rsidR="00F806F7" w:rsidRPr="002207DA" w:rsidRDefault="00F806F7" w:rsidP="00F806F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B6B18B" w14:textId="28839247" w:rsidR="00F806F7" w:rsidRPr="002207DA" w:rsidRDefault="00F806F7" w:rsidP="00F806F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C5E010" w14:textId="4322C8F1" w:rsidR="00F806F7" w:rsidRPr="002207DA" w:rsidRDefault="00F806F7" w:rsidP="00F806F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3192FE" w14:textId="6EA0709C" w:rsidR="00F806F7" w:rsidRPr="002207DA" w:rsidRDefault="00F806F7" w:rsidP="00F806F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E0D133" w14:textId="77777777" w:rsidR="00F806F7" w:rsidRPr="002207DA" w:rsidRDefault="00F806F7" w:rsidP="00F806F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C64A79" w14:textId="77777777" w:rsidR="00F806F7" w:rsidRPr="002207DA" w:rsidRDefault="00F806F7" w:rsidP="00F806F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2E77917" w14:textId="671546BA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3647368C" w14:textId="77777777" w:rsidR="002E7C77" w:rsidRDefault="002E7C7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202A9D48" w14:textId="78676DAD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 w:rsidRPr="002207DA">
        <w:rPr>
          <w:rFonts w:ascii="Arial" w:hAnsi="Arial" w:cs="Arial"/>
        </w:rPr>
        <w:t>6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Detalles de carga horaria (horas):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3537"/>
      </w:tblGrid>
      <w:tr w:rsidR="00AF4B07" w:rsidRPr="002207DA" w14:paraId="6A302FD2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8F07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total del curso.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B80A" w14:textId="58B013E4" w:rsidR="00AF4B07" w:rsidRPr="002207DA" w:rsidRDefault="003D43D1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  <w:tr w:rsidR="00AF4B07" w:rsidRPr="002207DA" w14:paraId="39F0D681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8379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teóricas.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A049" w14:textId="249A74B7" w:rsidR="00AF4B07" w:rsidRPr="002207DA" w:rsidRDefault="00F806F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AF4B07" w:rsidRPr="002207DA" w14:paraId="194FB707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DF5D" w14:textId="17875228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prácticas (incluir</w:t>
            </w:r>
            <w:r w:rsidR="000D1734">
              <w:rPr>
                <w:rFonts w:ascii="Arial" w:hAnsi="Arial" w:cs="Arial"/>
              </w:rPr>
              <w:t xml:space="preserve"> salidas de campo, seminarios, presentaciones de trabajos, talleres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DE15" w14:textId="4F532386" w:rsidR="00AF4B07" w:rsidRPr="002207DA" w:rsidRDefault="00C52B0E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14D06">
              <w:rPr>
                <w:rFonts w:ascii="Arial" w:hAnsi="Arial" w:cs="Arial"/>
              </w:rPr>
              <w:t>3</w:t>
            </w:r>
          </w:p>
          <w:p w14:paraId="3ECEA9AA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F4B07" w:rsidRPr="002207DA" w14:paraId="2CA85993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D39F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  <w:u w:val="single"/>
              </w:rPr>
            </w:pPr>
            <w:r w:rsidRPr="002207DA">
              <w:rPr>
                <w:rFonts w:ascii="Arial" w:hAnsi="Arial" w:cs="Arial"/>
                <w:u w:val="single"/>
              </w:rPr>
              <w:t>Únicamente para cursos intensivos</w:t>
            </w:r>
          </w:p>
          <w:p w14:paraId="3C15C24D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no presencial</w:t>
            </w:r>
          </w:p>
          <w:p w14:paraId="29CBCA55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¿Durante el curso? ¿Posterior al curso? Explicite.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DE7DD" w14:textId="4B817453" w:rsidR="00AF4B07" w:rsidRPr="002207DA" w:rsidRDefault="00F806F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72CFC">
              <w:rPr>
                <w:rFonts w:ascii="Arial" w:hAnsi="Arial" w:cs="Arial"/>
              </w:rPr>
              <w:t>7</w:t>
            </w:r>
            <w:r w:rsidR="0059195A">
              <w:rPr>
                <w:rFonts w:ascii="Arial" w:hAnsi="Arial" w:cs="Arial"/>
              </w:rPr>
              <w:t xml:space="preserve"> – Durante el curso</w:t>
            </w:r>
            <w:r w:rsidR="00F72CFC">
              <w:rPr>
                <w:rFonts w:ascii="Arial" w:hAnsi="Arial" w:cs="Arial"/>
              </w:rPr>
              <w:t>, luego de la fase experimental</w:t>
            </w:r>
            <w:r w:rsidR="00EE18B5">
              <w:rPr>
                <w:rFonts w:ascii="Arial" w:hAnsi="Arial" w:cs="Arial"/>
              </w:rPr>
              <w:t>. E</w:t>
            </w:r>
            <w:r w:rsidR="0059195A">
              <w:rPr>
                <w:rFonts w:ascii="Arial" w:hAnsi="Arial" w:cs="Arial"/>
              </w:rPr>
              <w:t xml:space="preserve">stas horas </w:t>
            </w:r>
            <w:r w:rsidR="00F72CFC">
              <w:rPr>
                <w:rFonts w:ascii="Arial" w:hAnsi="Arial" w:cs="Arial"/>
              </w:rPr>
              <w:t>son necesarias</w:t>
            </w:r>
            <w:r w:rsidR="0059195A">
              <w:rPr>
                <w:rFonts w:ascii="Arial" w:hAnsi="Arial" w:cs="Arial"/>
              </w:rPr>
              <w:t xml:space="preserve"> para el procesamiento de datos y preparación de la presentación final. </w:t>
            </w:r>
            <w:r w:rsidR="00F72CFC">
              <w:rPr>
                <w:rFonts w:ascii="Arial" w:hAnsi="Arial" w:cs="Arial"/>
              </w:rPr>
              <w:t>Durante los días de trabajo no presencial habrá</w:t>
            </w:r>
            <w:r w:rsidR="0059195A">
              <w:rPr>
                <w:rFonts w:ascii="Arial" w:hAnsi="Arial" w:cs="Arial"/>
              </w:rPr>
              <w:t xml:space="preserve"> horas de consulta y discusión</w:t>
            </w:r>
            <w:r w:rsidR="00F72CFC">
              <w:rPr>
                <w:rFonts w:ascii="Arial" w:hAnsi="Arial" w:cs="Arial"/>
              </w:rPr>
              <w:t xml:space="preserve"> con los docentes</w:t>
            </w:r>
            <w:r w:rsidR="0059195A">
              <w:rPr>
                <w:rFonts w:ascii="Arial" w:hAnsi="Arial" w:cs="Arial"/>
              </w:rPr>
              <w:t>.</w:t>
            </w:r>
          </w:p>
          <w:p w14:paraId="3854B99D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25619BF2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1811AE4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 xml:space="preserve">Nota: En el </w:t>
      </w:r>
      <w:r w:rsidRPr="002207DA">
        <w:rPr>
          <w:rFonts w:ascii="Arial" w:hAnsi="Arial" w:cs="Arial"/>
          <w:b/>
        </w:rPr>
        <w:t>ANEXO</w:t>
      </w:r>
      <w:r w:rsidRPr="002207DA">
        <w:rPr>
          <w:rFonts w:ascii="Arial" w:hAnsi="Arial" w:cs="Arial"/>
        </w:rPr>
        <w:t xml:space="preserve"> se detallan los criterios para el cálculo de créditos para cursos semestrales e intensivos.</w:t>
      </w:r>
    </w:p>
    <w:p w14:paraId="7AB796BC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60F18966" w14:textId="751D28E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7.</w:t>
      </w:r>
      <w:r w:rsidRPr="002207DA">
        <w:rPr>
          <w:rFonts w:ascii="Arial" w:hAnsi="Arial" w:cs="Arial"/>
        </w:rPr>
        <w:t xml:space="preserve"> </w:t>
      </w:r>
      <w:proofErr w:type="gramStart"/>
      <w:r w:rsidRPr="002207DA">
        <w:rPr>
          <w:rFonts w:ascii="Arial" w:hAnsi="Arial" w:cs="Arial"/>
        </w:rPr>
        <w:t>Actividades a realizar</w:t>
      </w:r>
      <w:proofErr w:type="gramEnd"/>
      <w:r w:rsidRPr="002207DA">
        <w:rPr>
          <w:rFonts w:ascii="Arial" w:hAnsi="Arial" w:cs="Arial"/>
        </w:rPr>
        <w:t xml:space="preserve"> (marcar con una cruz el casillero y especificar cantidad de horas).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709"/>
        <w:gridCol w:w="2125"/>
        <w:gridCol w:w="2688"/>
      </w:tblGrid>
      <w:tr w:rsidR="00AF4B07" w:rsidRPr="002207DA" w14:paraId="3723BC0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EF77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Clases expositivas teóricas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60CD" w14:textId="094FBD66" w:rsidR="00AF4B07" w:rsidRPr="002207DA" w:rsidRDefault="0066116C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77A1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4F8E" w14:textId="629B7A10" w:rsidR="00AF4B07" w:rsidRPr="002207DA" w:rsidRDefault="00F72CFC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AF4B07" w:rsidRPr="002207DA" w14:paraId="04AAE04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156D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campo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F71A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67B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3444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685D377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F4BE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Talleres de discusión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DFCA" w14:textId="5321B7F6" w:rsidR="00AF4B07" w:rsidRPr="002207DA" w:rsidRDefault="0066116C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F5C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2311" w14:textId="24321D02" w:rsidR="00AF4B07" w:rsidRPr="002207DA" w:rsidRDefault="008B7AC1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AF4B07" w:rsidRPr="002207DA" w14:paraId="6E9903A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A67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Seminarios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4C6B" w14:textId="4F9B4443" w:rsidR="00AF4B07" w:rsidRPr="002207DA" w:rsidRDefault="0066116C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8441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9437" w14:textId="14D30B50" w:rsidR="00AF4B07" w:rsidRPr="002207DA" w:rsidRDefault="008B7AC1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AF4B07" w:rsidRPr="002207DA" w14:paraId="29C04A1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143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laboratorio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1C89" w14:textId="1296ADC3" w:rsidR="00AF4B07" w:rsidRPr="002207DA" w:rsidRDefault="0066116C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8C6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6D6A" w14:textId="0D6746DC" w:rsidR="00AF4B07" w:rsidRPr="002207DA" w:rsidRDefault="00F72CFC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AF4B07" w:rsidRPr="002207DA" w14:paraId="72AB208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DC67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Actividades no presenciales (solo cursos intensivos)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3927" w14:textId="4E16247D" w:rsidR="00AF4B07" w:rsidRPr="002207DA" w:rsidRDefault="00F72CFC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6FE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9A02" w14:textId="2A24F034" w:rsidR="00AF4B07" w:rsidRPr="002207DA" w:rsidRDefault="00F72CFC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</w:tbl>
    <w:p w14:paraId="3CC51AEB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1A4BC23" w14:textId="514AC71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8</w:t>
      </w:r>
      <w:r w:rsidRPr="002207DA">
        <w:rPr>
          <w:rFonts w:ascii="Arial" w:hAnsi="Arial" w:cs="Arial"/>
        </w:rPr>
        <w:t>. Evaluación</w:t>
      </w:r>
    </w:p>
    <w:p w14:paraId="27D233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 xml:space="preserve">Los cursos se aprobarán con una evaluación final individual en la que el estudiante deberá alcanzar como mínimo una calificación correspondiente al 65% (sesenta y cinco por ciento) del puntaje máximo (nota 6 –seis- </w:t>
      </w:r>
      <w:proofErr w:type="gramStart"/>
      <w:r w:rsidRPr="002207DA">
        <w:rPr>
          <w:rFonts w:ascii="Arial" w:hAnsi="Arial" w:cs="Arial"/>
        </w:rPr>
        <w:t>de acuerdo a</w:t>
      </w:r>
      <w:proofErr w:type="gramEnd"/>
      <w:r w:rsidRPr="002207DA">
        <w:rPr>
          <w:rFonts w:ascii="Arial" w:hAnsi="Arial" w:cs="Arial"/>
        </w:rPr>
        <w:t xml:space="preserve"> la escala de la </w:t>
      </w:r>
      <w:proofErr w:type="spellStart"/>
      <w:r w:rsidRPr="002207DA">
        <w:rPr>
          <w:rFonts w:ascii="Arial" w:hAnsi="Arial" w:cs="Arial"/>
        </w:rPr>
        <w:t>UdelaR</w:t>
      </w:r>
      <w:proofErr w:type="spellEnd"/>
      <w:r w:rsidRPr="002207DA">
        <w:rPr>
          <w:rFonts w:ascii="Arial" w:hAnsi="Arial" w:cs="Arial"/>
        </w:rPr>
        <w:t>).</w:t>
      </w:r>
    </w:p>
    <w:p w14:paraId="461EE13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evaluación del curso será mediante (marque con una cruz):</w:t>
      </w:r>
    </w:p>
    <w:tbl>
      <w:tblPr>
        <w:tblW w:w="8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2410"/>
        <w:gridCol w:w="5246"/>
      </w:tblGrid>
      <w:tr w:rsidR="00AF4B07" w:rsidRPr="002207DA" w14:paraId="43C2986E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EED4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0AE4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escrito</w:t>
            </w:r>
          </w:p>
        </w:tc>
      </w:tr>
      <w:tr w:rsidR="00AF4B07" w:rsidRPr="002207DA" w14:paraId="2B7D8E6A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985E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10EA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oral</w:t>
            </w:r>
          </w:p>
        </w:tc>
      </w:tr>
      <w:tr w:rsidR="00AF4B07" w:rsidRPr="002207DA" w14:paraId="72B0A198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5533" w14:textId="0C3A2A60" w:rsidR="00AF4B07" w:rsidRPr="002207DA" w:rsidRDefault="00F72CFC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2D18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escrito/proyecto</w:t>
            </w:r>
          </w:p>
        </w:tc>
      </w:tr>
      <w:tr w:rsidR="00AF4B07" w:rsidRPr="002207DA" w14:paraId="111BF921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470B" w14:textId="2E786970" w:rsidR="00AF4B07" w:rsidRPr="002207DA" w:rsidRDefault="00F72CFC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6775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Otro tipo (especificar):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D415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32D42F01" w14:textId="7577B3D0" w:rsidR="00AF4B07" w:rsidRPr="002207DA" w:rsidRDefault="00962D14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Seminario de presentación de resultados donde los estudiantes deberán exponer el marco teórico del estudio (experimento realizado)</w:t>
            </w:r>
            <w:r w:rsidR="003E1AE5">
              <w:rPr>
                <w:rFonts w:ascii="Arial" w:hAnsi="Arial" w:cs="Arial"/>
              </w:rPr>
              <w:t>,</w:t>
            </w:r>
            <w:r w:rsidR="000779AC">
              <w:rPr>
                <w:rFonts w:ascii="Arial" w:hAnsi="Arial" w:cs="Arial"/>
              </w:rPr>
              <w:t xml:space="preserve"> objetivos,</w:t>
            </w:r>
            <w:r w:rsidR="003E1AE5">
              <w:rPr>
                <w:rFonts w:ascii="Arial" w:hAnsi="Arial" w:cs="Arial"/>
              </w:rPr>
              <w:t xml:space="preserve"> hipótesis, resultados (incluyendo análisis de datos),</w:t>
            </w:r>
            <w:r w:rsidR="00F72CFC">
              <w:rPr>
                <w:rFonts w:ascii="Arial" w:hAnsi="Arial" w:cs="Arial"/>
              </w:rPr>
              <w:t xml:space="preserve"> y</w:t>
            </w:r>
            <w:r w:rsidR="000779AC">
              <w:rPr>
                <w:rFonts w:ascii="Arial" w:hAnsi="Arial" w:cs="Arial"/>
              </w:rPr>
              <w:t xml:space="preserve"> discusión.</w:t>
            </w:r>
            <w:r w:rsidR="003E1AE5">
              <w:rPr>
                <w:rFonts w:ascii="Arial" w:hAnsi="Arial" w:cs="Arial"/>
              </w:rPr>
              <w:t xml:space="preserve"> </w:t>
            </w:r>
          </w:p>
        </w:tc>
      </w:tr>
    </w:tbl>
    <w:p w14:paraId="6254CFB2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79313091" w14:textId="701EA2B4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1.9</w:t>
      </w:r>
      <w:r w:rsidR="00DD3F56" w:rsidRPr="002207DA">
        <w:rPr>
          <w:rFonts w:ascii="Arial" w:hAnsi="Arial" w:cs="Arial"/>
        </w:rPr>
        <w:t>. Especifique si el curso admite a estudiantes de grado y de otras carreras de posgrado: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1D803B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12C0" w14:textId="4E1C2E0F" w:rsidR="00AF4B07" w:rsidRPr="002207DA" w:rsidRDefault="0082376D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admitirán estudiantes de posgrado de todas las carreras dando prioridad a estudiantes de </w:t>
            </w:r>
            <w:r w:rsidR="00F72CFC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eociencias en caso de limitación por cupo.</w:t>
            </w:r>
            <w:r w:rsidR="00F72CFC">
              <w:rPr>
                <w:rFonts w:ascii="Arial" w:hAnsi="Arial" w:cs="Arial"/>
              </w:rPr>
              <w:t xml:space="preserve"> Lo mismo se aplicará a estudiantes de grado avanzados.</w:t>
            </w:r>
          </w:p>
          <w:p w14:paraId="62D93520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7124278" w14:textId="77777777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1.10</w:t>
      </w:r>
      <w:r w:rsidR="00DD3F56" w:rsidRPr="002207DA">
        <w:rPr>
          <w:rFonts w:ascii="Arial" w:hAnsi="Arial" w:cs="Arial"/>
        </w:rPr>
        <w:t>. Indicar modalidad de dictado (virtual/presencial/mixta):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C8E301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ACAB" w14:textId="5949BE72" w:rsidR="00AF4B07" w:rsidRPr="002207DA" w:rsidRDefault="00F11F84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F243C0">
              <w:rPr>
                <w:rFonts w:ascii="Arial" w:hAnsi="Arial" w:cs="Arial"/>
              </w:rPr>
              <w:t>ixta</w:t>
            </w:r>
          </w:p>
        </w:tc>
      </w:tr>
    </w:tbl>
    <w:p w14:paraId="0AB970C3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0727A2B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2) DATOS SOBRE EL/LOS COORDINADOR/ES Y DOCENTES PARTICIPANTES DEL CURSO</w:t>
      </w:r>
    </w:p>
    <w:p w14:paraId="1698F61C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5263E2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2.1 Coordinador/es del curso (nombre y correo electrónico de contacto):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9C1C9B" w14:paraId="6597063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E2F6" w14:textId="2B5D9D51" w:rsidR="001C4F2D" w:rsidRPr="001C4F2D" w:rsidRDefault="008B7AC1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Dra </w:t>
            </w:r>
            <w:r w:rsidR="001C4F2D" w:rsidRPr="001C4F2D">
              <w:rPr>
                <w:rFonts w:ascii="Arial" w:hAnsi="Arial" w:cs="Arial"/>
                <w:lang w:val="en-US"/>
              </w:rPr>
              <w:t xml:space="preserve">Mariana </w:t>
            </w:r>
            <w:proofErr w:type="spellStart"/>
            <w:r w:rsidR="001C4F2D" w:rsidRPr="001C4F2D">
              <w:rPr>
                <w:rFonts w:ascii="Arial" w:hAnsi="Arial" w:cs="Arial"/>
                <w:lang w:val="en-US"/>
              </w:rPr>
              <w:t>Meerhoff</w:t>
            </w:r>
            <w:proofErr w:type="spellEnd"/>
            <w:r w:rsidR="001C4F2D" w:rsidRPr="001C4F2D">
              <w:rPr>
                <w:rFonts w:ascii="Arial" w:hAnsi="Arial" w:cs="Arial"/>
                <w:lang w:val="en-US"/>
              </w:rPr>
              <w:t xml:space="preserve">: </w:t>
            </w:r>
            <w:hyperlink r:id="rId8" w:history="1">
              <w:r w:rsidR="001C4F2D" w:rsidRPr="001C4F2D">
                <w:rPr>
                  <w:rFonts w:ascii="Arial" w:hAnsi="Arial" w:cs="Arial"/>
                  <w:lang w:val="en-US"/>
                </w:rPr>
                <w:t>mm@ecos.au.dk</w:t>
              </w:r>
            </w:hyperlink>
          </w:p>
          <w:p w14:paraId="272C326B" w14:textId="6928C18C" w:rsidR="001C4F2D" w:rsidRPr="00941EC6" w:rsidRDefault="008B7AC1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Dra </w:t>
            </w:r>
            <w:r w:rsidR="001C4F2D" w:rsidRPr="001C4F2D">
              <w:rPr>
                <w:rFonts w:ascii="Arial" w:hAnsi="Arial" w:cs="Arial"/>
                <w:lang w:val="de-DE"/>
              </w:rPr>
              <w:t xml:space="preserve">Miriam Gerhard: </w:t>
            </w:r>
            <w:hyperlink r:id="rId9" w:history="1">
              <w:r w:rsidR="001C4F2D" w:rsidRPr="001C4F2D">
                <w:rPr>
                  <w:rFonts w:ascii="Arial" w:hAnsi="Arial" w:cs="Arial"/>
                  <w:lang w:val="de-DE"/>
                </w:rPr>
                <w:t>miriamgerhardk@gmail.com</w:t>
              </w:r>
            </w:hyperlink>
          </w:p>
        </w:tc>
      </w:tr>
    </w:tbl>
    <w:p w14:paraId="6DD55F0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2.2 Docentes participantes (PEDECIBA):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372169A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E949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7DF77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2.3 Docentes participantes invitados (no PEDECIBA, adjuntar CV):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70078F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786A" w14:textId="38C7933D" w:rsidR="00AF4B07" w:rsidRPr="002207DA" w:rsidRDefault="00534E53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Dr. </w:t>
            </w:r>
            <w:r w:rsidR="001C4F2D" w:rsidRPr="001C4F2D">
              <w:rPr>
                <w:rFonts w:ascii="Arial" w:hAnsi="Arial" w:cs="Arial"/>
              </w:rPr>
              <w:t xml:space="preserve">Giovanni </w:t>
            </w:r>
            <w:proofErr w:type="spellStart"/>
            <w:r w:rsidR="00F72CFC">
              <w:rPr>
                <w:rFonts w:ascii="Arial" w:hAnsi="Arial" w:cs="Arial"/>
              </w:rPr>
              <w:t>Moresco</w:t>
            </w:r>
            <w:proofErr w:type="spellEnd"/>
            <w:r w:rsidR="00F72CFC">
              <w:rPr>
                <w:rFonts w:ascii="Arial" w:hAnsi="Arial" w:cs="Arial"/>
              </w:rPr>
              <w:t xml:space="preserve">, Universidad Estadual de </w:t>
            </w:r>
            <w:proofErr w:type="spellStart"/>
            <w:r w:rsidR="00F72CFC">
              <w:rPr>
                <w:rFonts w:ascii="Arial" w:hAnsi="Arial" w:cs="Arial"/>
              </w:rPr>
              <w:t>Maringá</w:t>
            </w:r>
            <w:proofErr w:type="spellEnd"/>
            <w:r w:rsidR="00F72CFC">
              <w:rPr>
                <w:rFonts w:ascii="Arial" w:hAnsi="Arial" w:cs="Arial"/>
              </w:rPr>
              <w:t>, Brasil</w:t>
            </w:r>
          </w:p>
        </w:tc>
      </w:tr>
    </w:tbl>
    <w:p w14:paraId="582E4CC3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2.4 Otros colaboradores (por ej., estudiantes de doctorado):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349C7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C04B" w14:textId="752A0ED3" w:rsidR="00AF4B07" w:rsidRPr="002207DA" w:rsidRDefault="00FC5E61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Dra</w:t>
            </w:r>
            <w:proofErr w:type="spellEnd"/>
            <w:r>
              <w:rPr>
                <w:rFonts w:ascii="Arial" w:hAnsi="Arial" w:cs="Arial"/>
              </w:rPr>
              <w:t xml:space="preserve"> Maite Colina, CURE-UDELAR</w:t>
            </w:r>
          </w:p>
        </w:tc>
      </w:tr>
    </w:tbl>
    <w:p w14:paraId="52645DC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3) CONTENIDO ACADÉMICO DEL CURSO</w:t>
      </w:r>
    </w:p>
    <w:p w14:paraId="6F6F4BA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3.1 Objetivo de la asignatura: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16B1EED4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A0C7" w14:textId="0B564A91" w:rsidR="00AF4B07" w:rsidRPr="002207DA" w:rsidRDefault="0060333C" w:rsidP="00040979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Este curso tiene por objetivo</w:t>
            </w:r>
            <w:r w:rsidR="009E33FC">
              <w:rPr>
                <w:rFonts w:ascii="Arial" w:hAnsi="Arial" w:cs="Arial"/>
              </w:rPr>
              <w:t xml:space="preserve"> </w:t>
            </w:r>
            <w:r w:rsidR="000A15A8">
              <w:rPr>
                <w:rFonts w:ascii="Arial" w:hAnsi="Arial" w:cs="Arial"/>
              </w:rPr>
              <w:t xml:space="preserve">brindar bases conceptuales </w:t>
            </w:r>
            <w:r w:rsidR="008F29BA">
              <w:rPr>
                <w:rFonts w:ascii="Arial" w:hAnsi="Arial" w:cs="Arial"/>
              </w:rPr>
              <w:t xml:space="preserve">y metodológicas </w:t>
            </w:r>
            <w:r w:rsidR="000A15A8">
              <w:rPr>
                <w:rFonts w:ascii="Arial" w:hAnsi="Arial" w:cs="Arial"/>
              </w:rPr>
              <w:t>para</w:t>
            </w:r>
            <w:r>
              <w:rPr>
                <w:rFonts w:ascii="Arial" w:hAnsi="Arial" w:cs="Arial"/>
              </w:rPr>
              <w:t xml:space="preserve"> </w:t>
            </w:r>
            <w:r w:rsidR="00040979">
              <w:rPr>
                <w:rFonts w:ascii="Arial" w:hAnsi="Arial" w:cs="Arial"/>
              </w:rPr>
              <w:t xml:space="preserve">la evaluación de </w:t>
            </w:r>
            <w:r w:rsidR="008F29BA">
              <w:rPr>
                <w:rFonts w:ascii="Arial" w:hAnsi="Arial" w:cs="Arial"/>
              </w:rPr>
              <w:t>los efectos</w:t>
            </w:r>
            <w:r w:rsidR="009E33FC">
              <w:rPr>
                <w:rFonts w:ascii="Arial" w:hAnsi="Arial" w:cs="Arial"/>
              </w:rPr>
              <w:t xml:space="preserve"> del calentamiento </w:t>
            </w:r>
            <w:r w:rsidR="00F72CFC">
              <w:rPr>
                <w:rFonts w:ascii="Arial" w:hAnsi="Arial" w:cs="Arial"/>
              </w:rPr>
              <w:t>climático</w:t>
            </w:r>
            <w:r w:rsidR="009E33FC">
              <w:rPr>
                <w:rFonts w:ascii="Arial" w:hAnsi="Arial" w:cs="Arial"/>
              </w:rPr>
              <w:t xml:space="preserve"> sobre </w:t>
            </w:r>
            <w:r w:rsidR="000A15A8">
              <w:rPr>
                <w:rFonts w:ascii="Arial" w:hAnsi="Arial" w:cs="Arial"/>
              </w:rPr>
              <w:t>comunidades acuáticas</w:t>
            </w:r>
            <w:r w:rsidR="008F29BA">
              <w:rPr>
                <w:rFonts w:ascii="Arial" w:hAnsi="Arial" w:cs="Arial"/>
              </w:rPr>
              <w:t xml:space="preserve"> </w:t>
            </w:r>
            <w:r w:rsidR="00941EC6">
              <w:rPr>
                <w:rFonts w:ascii="Arial" w:hAnsi="Arial" w:cs="Arial"/>
              </w:rPr>
              <w:t>y sus funciones ecosistémicas</w:t>
            </w:r>
            <w:r w:rsidR="009E33FC">
              <w:rPr>
                <w:rFonts w:ascii="Arial" w:hAnsi="Arial" w:cs="Arial"/>
              </w:rPr>
              <w:t>. Est</w:t>
            </w:r>
            <w:r w:rsidR="00987332">
              <w:rPr>
                <w:rFonts w:ascii="Arial" w:hAnsi="Arial" w:cs="Arial"/>
              </w:rPr>
              <w:t>os temas</w:t>
            </w:r>
            <w:r w:rsidR="009E33FC">
              <w:rPr>
                <w:rFonts w:ascii="Arial" w:hAnsi="Arial" w:cs="Arial"/>
              </w:rPr>
              <w:t xml:space="preserve"> será</w:t>
            </w:r>
            <w:r w:rsidR="00987332">
              <w:rPr>
                <w:rFonts w:ascii="Arial" w:hAnsi="Arial" w:cs="Arial"/>
              </w:rPr>
              <w:t>n</w:t>
            </w:r>
            <w:r w:rsidR="009E33FC">
              <w:rPr>
                <w:rFonts w:ascii="Arial" w:hAnsi="Arial" w:cs="Arial"/>
              </w:rPr>
              <w:t xml:space="preserve"> trabajado</w:t>
            </w:r>
            <w:r w:rsidR="00987332">
              <w:rPr>
                <w:rFonts w:ascii="Arial" w:hAnsi="Arial" w:cs="Arial"/>
              </w:rPr>
              <w:t>s</w:t>
            </w:r>
            <w:r w:rsidR="009E33FC">
              <w:rPr>
                <w:rFonts w:ascii="Arial" w:hAnsi="Arial" w:cs="Arial"/>
              </w:rPr>
              <w:t xml:space="preserve"> desde una perspectiva </w:t>
            </w:r>
            <w:r w:rsidR="008F29BA">
              <w:rPr>
                <w:rFonts w:ascii="Arial" w:hAnsi="Arial" w:cs="Arial"/>
              </w:rPr>
              <w:t xml:space="preserve">teórico-práctica con fuerte énfasis </w:t>
            </w:r>
            <w:r w:rsidR="009E33FC">
              <w:rPr>
                <w:rFonts w:ascii="Arial" w:hAnsi="Arial" w:cs="Arial"/>
              </w:rPr>
              <w:t>experimental</w:t>
            </w:r>
            <w:r w:rsidR="008F29BA">
              <w:rPr>
                <w:rFonts w:ascii="Arial" w:hAnsi="Arial" w:cs="Arial"/>
              </w:rPr>
              <w:t xml:space="preserve"> y tomando la comunidad de fitoplancton como modelo. S</w:t>
            </w:r>
            <w:r w:rsidR="009E33FC">
              <w:rPr>
                <w:rFonts w:ascii="Arial" w:hAnsi="Arial" w:cs="Arial"/>
              </w:rPr>
              <w:t xml:space="preserve">e busca que los estudiantes se familiaricen con este </w:t>
            </w:r>
            <w:r w:rsidR="00D9475B">
              <w:rPr>
                <w:rFonts w:ascii="Arial" w:hAnsi="Arial" w:cs="Arial"/>
              </w:rPr>
              <w:t xml:space="preserve">tipo de </w:t>
            </w:r>
            <w:r w:rsidR="00671D4B">
              <w:rPr>
                <w:rFonts w:ascii="Arial" w:hAnsi="Arial" w:cs="Arial"/>
              </w:rPr>
              <w:t xml:space="preserve">abordaje e incorporen la </w:t>
            </w:r>
            <w:r w:rsidR="009E33FC">
              <w:rPr>
                <w:rFonts w:ascii="Arial" w:hAnsi="Arial" w:cs="Arial"/>
              </w:rPr>
              <w:t xml:space="preserve">importancia de la investigación experimental </w:t>
            </w:r>
            <w:r w:rsidR="008F29BA">
              <w:rPr>
                <w:rFonts w:ascii="Arial" w:hAnsi="Arial" w:cs="Arial"/>
              </w:rPr>
              <w:t>para comprender</w:t>
            </w:r>
            <w:r w:rsidR="009E33FC">
              <w:rPr>
                <w:rFonts w:ascii="Arial" w:hAnsi="Arial" w:cs="Arial"/>
              </w:rPr>
              <w:t xml:space="preserve"> problemáticas </w:t>
            </w:r>
            <w:r w:rsidR="00671D4B">
              <w:rPr>
                <w:rFonts w:ascii="Arial" w:hAnsi="Arial" w:cs="Arial"/>
              </w:rPr>
              <w:t xml:space="preserve">globales, así como </w:t>
            </w:r>
            <w:r w:rsidR="008F29BA">
              <w:rPr>
                <w:rFonts w:ascii="Arial" w:hAnsi="Arial" w:cs="Arial"/>
              </w:rPr>
              <w:t xml:space="preserve">las </w:t>
            </w:r>
            <w:r w:rsidR="00671D4B">
              <w:rPr>
                <w:rFonts w:ascii="Arial" w:hAnsi="Arial" w:cs="Arial"/>
              </w:rPr>
              <w:t xml:space="preserve">bases de </w:t>
            </w:r>
            <w:r w:rsidR="009E33FC">
              <w:rPr>
                <w:rFonts w:ascii="Arial" w:hAnsi="Arial" w:cs="Arial"/>
              </w:rPr>
              <w:t>diseño</w:t>
            </w:r>
            <w:r w:rsidR="00671D4B">
              <w:rPr>
                <w:rFonts w:ascii="Arial" w:hAnsi="Arial" w:cs="Arial"/>
              </w:rPr>
              <w:t xml:space="preserve"> </w:t>
            </w:r>
            <w:r w:rsidR="009E33FC">
              <w:rPr>
                <w:rFonts w:ascii="Arial" w:hAnsi="Arial" w:cs="Arial"/>
              </w:rPr>
              <w:t>experimental. A su vez</w:t>
            </w:r>
            <w:r w:rsidR="008F29BA">
              <w:rPr>
                <w:rFonts w:ascii="Arial" w:hAnsi="Arial" w:cs="Arial"/>
              </w:rPr>
              <w:t>,</w:t>
            </w:r>
            <w:r w:rsidR="009E33FC">
              <w:rPr>
                <w:rFonts w:ascii="Arial" w:hAnsi="Arial" w:cs="Arial"/>
              </w:rPr>
              <w:t xml:space="preserve"> se busca ejercitar diversas técn</w:t>
            </w:r>
            <w:r w:rsidR="00263F06">
              <w:rPr>
                <w:rFonts w:ascii="Arial" w:hAnsi="Arial" w:cs="Arial"/>
              </w:rPr>
              <w:t>ic</w:t>
            </w:r>
            <w:r w:rsidR="009E33FC">
              <w:rPr>
                <w:rFonts w:ascii="Arial" w:hAnsi="Arial" w:cs="Arial"/>
              </w:rPr>
              <w:t xml:space="preserve">as que permiten un entendimiento holístico de los </w:t>
            </w:r>
            <w:r w:rsidR="00671D4B">
              <w:rPr>
                <w:rFonts w:ascii="Arial" w:hAnsi="Arial" w:cs="Arial"/>
              </w:rPr>
              <w:t xml:space="preserve">procesos de investigación: </w:t>
            </w:r>
            <w:r w:rsidR="00615256">
              <w:rPr>
                <w:rFonts w:ascii="Arial" w:hAnsi="Arial" w:cs="Arial"/>
              </w:rPr>
              <w:t>elaboración de hipótesis</w:t>
            </w:r>
            <w:r w:rsidR="00875671">
              <w:rPr>
                <w:rFonts w:ascii="Arial" w:hAnsi="Arial" w:cs="Arial"/>
              </w:rPr>
              <w:t xml:space="preserve">, evaluación mediante </w:t>
            </w:r>
            <w:r w:rsidR="00FD79C5">
              <w:rPr>
                <w:rFonts w:ascii="Arial" w:hAnsi="Arial" w:cs="Arial"/>
              </w:rPr>
              <w:t xml:space="preserve">técnicas de laboratorio, </w:t>
            </w:r>
            <w:r w:rsidR="00671D4B">
              <w:rPr>
                <w:rFonts w:ascii="Arial" w:hAnsi="Arial" w:cs="Arial"/>
              </w:rPr>
              <w:t>procesamiento de datos e</w:t>
            </w:r>
            <w:r w:rsidR="00875671">
              <w:rPr>
                <w:rFonts w:ascii="Arial" w:hAnsi="Arial" w:cs="Arial"/>
              </w:rPr>
              <w:t xml:space="preserve"> int</w:t>
            </w:r>
            <w:r w:rsidR="00671D4B">
              <w:rPr>
                <w:rFonts w:ascii="Arial" w:hAnsi="Arial" w:cs="Arial"/>
              </w:rPr>
              <w:t>erpretación de resultados</w:t>
            </w:r>
            <w:r w:rsidR="00987332">
              <w:rPr>
                <w:rFonts w:ascii="Arial" w:hAnsi="Arial" w:cs="Arial"/>
              </w:rPr>
              <w:t>,</w:t>
            </w:r>
            <w:r w:rsidR="00671D4B">
              <w:rPr>
                <w:rFonts w:ascii="Arial" w:hAnsi="Arial" w:cs="Arial"/>
              </w:rPr>
              <w:t xml:space="preserve"> basada en bibliografía actual</w:t>
            </w:r>
            <w:r w:rsidR="00875671">
              <w:rPr>
                <w:rFonts w:ascii="Arial" w:hAnsi="Arial" w:cs="Arial"/>
              </w:rPr>
              <w:t>.</w:t>
            </w:r>
            <w:r w:rsidR="00FD79C5">
              <w:rPr>
                <w:rFonts w:ascii="Arial" w:hAnsi="Arial" w:cs="Arial"/>
              </w:rPr>
              <w:t xml:space="preserve"> </w:t>
            </w:r>
          </w:p>
        </w:tc>
      </w:tr>
    </w:tbl>
    <w:p w14:paraId="4323EA4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3.2 Metodología de enseñanza: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A09A4F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98E7" w14:textId="7782A53A" w:rsidR="00AF4B07" w:rsidRPr="002207DA" w:rsidRDefault="00545D26" w:rsidP="0019514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curso abarcará diferentes metodologías incluyendo: Exposiciones t</w:t>
            </w:r>
            <w:r w:rsidR="00D34516">
              <w:rPr>
                <w:rFonts w:ascii="Arial" w:hAnsi="Arial" w:cs="Arial"/>
              </w:rPr>
              <w:t xml:space="preserve">eóricas </w:t>
            </w:r>
            <w:r w:rsidR="00C45B63">
              <w:rPr>
                <w:rFonts w:ascii="Arial" w:hAnsi="Arial" w:cs="Arial"/>
              </w:rPr>
              <w:t xml:space="preserve">(modalidad virtual) </w:t>
            </w:r>
            <w:r>
              <w:rPr>
                <w:rFonts w:ascii="Arial" w:hAnsi="Arial" w:cs="Arial"/>
              </w:rPr>
              <w:t>sobre la temática a trabajar y métodos a utilizar, t</w:t>
            </w:r>
            <w:r w:rsidR="00D34516">
              <w:rPr>
                <w:rFonts w:ascii="Arial" w:hAnsi="Arial" w:cs="Arial"/>
              </w:rPr>
              <w:t>rabajo práctico</w:t>
            </w:r>
            <w:r w:rsidR="00FD79C5">
              <w:rPr>
                <w:rFonts w:ascii="Arial" w:hAnsi="Arial" w:cs="Arial"/>
              </w:rPr>
              <w:t xml:space="preserve"> de laboratorio</w:t>
            </w:r>
            <w:r>
              <w:rPr>
                <w:rFonts w:ascii="Arial" w:hAnsi="Arial" w:cs="Arial"/>
              </w:rPr>
              <w:t xml:space="preserve"> donde se </w:t>
            </w:r>
            <w:r w:rsidR="008F29BA">
              <w:rPr>
                <w:rFonts w:ascii="Arial" w:hAnsi="Arial" w:cs="Arial"/>
              </w:rPr>
              <w:t xml:space="preserve">discutirá el diseño experimental y se </w:t>
            </w:r>
            <w:r>
              <w:rPr>
                <w:rFonts w:ascii="Arial" w:hAnsi="Arial" w:cs="Arial"/>
              </w:rPr>
              <w:t>llevará a cabo la medición de diferentes variables</w:t>
            </w:r>
            <w:r w:rsidR="008F29BA">
              <w:rPr>
                <w:rFonts w:ascii="Arial" w:hAnsi="Arial" w:cs="Arial"/>
              </w:rPr>
              <w:t xml:space="preserve"> respuesta</w:t>
            </w:r>
            <w:r w:rsidR="00C45B63">
              <w:rPr>
                <w:rFonts w:ascii="Arial" w:hAnsi="Arial" w:cs="Arial"/>
              </w:rPr>
              <w:t xml:space="preserve"> (presencial)</w:t>
            </w:r>
            <w:r w:rsidR="008F29BA">
              <w:rPr>
                <w:rFonts w:ascii="Arial" w:hAnsi="Arial" w:cs="Arial"/>
              </w:rPr>
              <w:t xml:space="preserve">, dictado de </w:t>
            </w:r>
            <w:r>
              <w:rPr>
                <w:rFonts w:ascii="Arial" w:hAnsi="Arial" w:cs="Arial"/>
              </w:rPr>
              <w:t>seminarios de discusión de artículos científicos y talleres sobre procesamiento de datos e interpretación de resultados</w:t>
            </w:r>
            <w:r w:rsidR="00C45B63">
              <w:rPr>
                <w:rFonts w:ascii="Arial" w:hAnsi="Arial" w:cs="Arial"/>
              </w:rPr>
              <w:t xml:space="preserve"> (modalidad híbrida)</w:t>
            </w:r>
            <w:r>
              <w:rPr>
                <w:rFonts w:ascii="Arial" w:hAnsi="Arial" w:cs="Arial"/>
              </w:rPr>
              <w:t>.</w:t>
            </w:r>
            <w:r w:rsidR="00195142">
              <w:rPr>
                <w:rFonts w:ascii="Arial" w:hAnsi="Arial" w:cs="Arial"/>
              </w:rPr>
              <w:t xml:space="preserve"> El mismo finalizará con una presentación </w:t>
            </w:r>
            <w:r w:rsidR="008F29BA">
              <w:rPr>
                <w:rFonts w:ascii="Arial" w:hAnsi="Arial" w:cs="Arial"/>
              </w:rPr>
              <w:t xml:space="preserve">escrita y oral </w:t>
            </w:r>
            <w:r w:rsidR="00195142">
              <w:rPr>
                <w:rFonts w:ascii="Arial" w:hAnsi="Arial" w:cs="Arial"/>
              </w:rPr>
              <w:t>por parte de los estudiantes.</w:t>
            </w:r>
          </w:p>
        </w:tc>
      </w:tr>
    </w:tbl>
    <w:p w14:paraId="1AC344C7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3257C6CF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4F0A89C5" w14:textId="44ECFAC0" w:rsidR="00AF4B07" w:rsidRPr="002207DA" w:rsidRDefault="00DD3F56" w:rsidP="005229DD">
      <w:pPr>
        <w:pStyle w:val="Standard"/>
        <w:numPr>
          <w:ilvl w:val="1"/>
          <w:numId w:val="5"/>
        </w:numPr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Temario: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8BF76AC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9063" w14:textId="5E3A6611" w:rsidR="005229DD" w:rsidRPr="007327AD" w:rsidRDefault="005229DD" w:rsidP="00B8601F">
            <w:pPr>
              <w:pStyle w:val="Textocomentario"/>
              <w:rPr>
                <w:rFonts w:ascii="Arial" w:hAnsi="Arial" w:cs="Arial"/>
                <w:sz w:val="22"/>
                <w:szCs w:val="22"/>
              </w:rPr>
            </w:pPr>
            <w:r w:rsidRPr="005E4BBE">
              <w:rPr>
                <w:rFonts w:ascii="Arial" w:hAnsi="Arial" w:cs="Arial"/>
                <w:i/>
                <w:sz w:val="22"/>
                <w:szCs w:val="22"/>
              </w:rPr>
              <w:t>Clases teóricas</w:t>
            </w:r>
            <w:r w:rsidRPr="007327A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74BB5F5" w14:textId="77777777" w:rsidR="006F4860" w:rsidRDefault="006F4860" w:rsidP="00B8601F">
            <w:pPr>
              <w:pStyle w:val="Textocomentario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8A0201" w:rsidRPr="007327AD">
              <w:rPr>
                <w:rFonts w:ascii="Arial" w:hAnsi="Arial" w:cs="Arial"/>
                <w:sz w:val="22"/>
                <w:szCs w:val="22"/>
              </w:rPr>
              <w:t>ambio climático</w:t>
            </w:r>
            <w:r w:rsidR="00C45B63">
              <w:rPr>
                <w:rFonts w:ascii="Arial" w:hAnsi="Arial" w:cs="Arial"/>
                <w:sz w:val="22"/>
                <w:szCs w:val="22"/>
              </w:rPr>
              <w:t xml:space="preserve"> y evaluación de efectos sobre los ecosistemas</w:t>
            </w:r>
          </w:p>
          <w:p w14:paraId="063C344B" w14:textId="77777777" w:rsidR="006F4860" w:rsidRDefault="006F4860" w:rsidP="006F4860">
            <w:pPr>
              <w:pStyle w:val="Textocomentario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Introducción al cambio climático y la variabilidad climática</w:t>
            </w:r>
          </w:p>
          <w:p w14:paraId="08602EE2" w14:textId="6487ACD6" w:rsidR="008A0201" w:rsidRDefault="006F4860" w:rsidP="006F4860">
            <w:pPr>
              <w:pStyle w:val="Textocomentario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Formas de análisis de los efectos: modelación, experimentación, sustitución tiempo por espacio.</w:t>
            </w:r>
            <w:r w:rsidR="003872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5B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F7AB37" w14:textId="77777777" w:rsidR="006F4860" w:rsidRDefault="00C45B63" w:rsidP="00B8601F">
            <w:pPr>
              <w:pStyle w:val="Textocomentario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Impactos sobre ecosistemas acuáticos</w:t>
            </w:r>
            <w:r w:rsidR="006F486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91CE0F9" w14:textId="729DFE30" w:rsidR="006F4860" w:rsidRDefault="006F4860" w:rsidP="006F4860">
            <w:pPr>
              <w:pStyle w:val="Textocomentario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Predicciones </w:t>
            </w:r>
            <w:r w:rsidR="008B7AC1">
              <w:rPr>
                <w:rFonts w:ascii="Arial" w:hAnsi="Arial" w:cs="Arial"/>
                <w:sz w:val="22"/>
                <w:szCs w:val="22"/>
              </w:rPr>
              <w:t xml:space="preserve">teóricas </w:t>
            </w:r>
            <w:r>
              <w:rPr>
                <w:rFonts w:ascii="Arial" w:hAnsi="Arial" w:cs="Arial"/>
                <w:sz w:val="22"/>
                <w:szCs w:val="22"/>
              </w:rPr>
              <w:t>y evidencia empírica</w:t>
            </w:r>
          </w:p>
          <w:p w14:paraId="70532413" w14:textId="687F4CEF" w:rsidR="00C45B63" w:rsidRPr="007327AD" w:rsidRDefault="006F4860" w:rsidP="006F4860">
            <w:pPr>
              <w:pStyle w:val="Textocomentario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Procesos comunitarios y ecosistémicos</w:t>
            </w:r>
          </w:p>
          <w:p w14:paraId="52F716EA" w14:textId="4846E953" w:rsidR="00D9475B" w:rsidRDefault="00D9475B" w:rsidP="00B8601F">
            <w:pPr>
              <w:pStyle w:val="Textocomentario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Calentamiento global en un contexto de variabilidad ambiental</w:t>
            </w:r>
            <w:r w:rsidR="001B52A0">
              <w:rPr>
                <w:rFonts w:ascii="Arial" w:hAnsi="Arial" w:cs="Arial"/>
                <w:sz w:val="22"/>
                <w:szCs w:val="22"/>
              </w:rPr>
              <w:t>: efectos sobre productores primarios</w:t>
            </w:r>
          </w:p>
          <w:p w14:paraId="34435836" w14:textId="318617E5" w:rsidR="001B52A0" w:rsidRPr="001B52A0" w:rsidRDefault="001B52A0" w:rsidP="00B8601F">
            <w:pPr>
              <w:pStyle w:val="Textocomentario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Importancia de la variabilidad ambiental en sistemas </w:t>
            </w:r>
            <w:r w:rsidR="00B8601F">
              <w:rPr>
                <w:rFonts w:ascii="Arial" w:hAnsi="Arial" w:cs="Arial"/>
                <w:sz w:val="22"/>
                <w:szCs w:val="22"/>
              </w:rPr>
              <w:t xml:space="preserve">acuáticos </w:t>
            </w:r>
            <w:r>
              <w:rPr>
                <w:rFonts w:ascii="Arial" w:hAnsi="Arial" w:cs="Arial"/>
                <w:sz w:val="22"/>
                <w:szCs w:val="22"/>
              </w:rPr>
              <w:t>naturales</w:t>
            </w:r>
          </w:p>
          <w:p w14:paraId="7A81D6A6" w14:textId="6214AACB" w:rsidR="001B52A0" w:rsidRDefault="001B52A0" w:rsidP="00B8601F">
            <w:pPr>
              <w:pStyle w:val="Textocomentario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Curvas de respuesta a gradientes de temperatura: qué son y para qué se utilizan</w:t>
            </w:r>
          </w:p>
          <w:p w14:paraId="6CF34EC5" w14:textId="123DFCD7" w:rsidR="008A0201" w:rsidRDefault="001B52A0" w:rsidP="00B8601F">
            <w:pPr>
              <w:pStyle w:val="Textocomentario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8A0201" w:rsidRPr="007327AD">
              <w:rPr>
                <w:rFonts w:ascii="Arial" w:hAnsi="Arial" w:cs="Arial"/>
                <w:sz w:val="22"/>
                <w:szCs w:val="22"/>
              </w:rPr>
              <w:t>fectos interactivos</w:t>
            </w:r>
            <w:r>
              <w:rPr>
                <w:rFonts w:ascii="Arial" w:hAnsi="Arial" w:cs="Arial"/>
                <w:sz w:val="22"/>
                <w:szCs w:val="22"/>
              </w:rPr>
              <w:t>: calentamiento, variabilidad de temperatura y disponibilidad de nutrientes</w:t>
            </w:r>
          </w:p>
          <w:p w14:paraId="14651372" w14:textId="15311504" w:rsidR="006F4860" w:rsidRPr="007327AD" w:rsidRDefault="006F4860" w:rsidP="006F4860">
            <w:pPr>
              <w:pStyle w:val="Textocomentario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Fitoplancton como comunidad modelo de estudio</w:t>
            </w:r>
          </w:p>
          <w:p w14:paraId="2283B9BC" w14:textId="3060AC85" w:rsidR="008A0201" w:rsidRDefault="008A0201" w:rsidP="00B8601F">
            <w:pPr>
              <w:pStyle w:val="Textocomentario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327AD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5229DD" w:rsidRPr="007327AD">
              <w:rPr>
                <w:rFonts w:ascii="Arial" w:hAnsi="Arial" w:cs="Arial"/>
                <w:sz w:val="22"/>
                <w:szCs w:val="22"/>
              </w:rPr>
              <w:t>ntro</w:t>
            </w:r>
            <w:r w:rsidR="00B8601F">
              <w:rPr>
                <w:rFonts w:ascii="Arial" w:hAnsi="Arial" w:cs="Arial"/>
                <w:sz w:val="22"/>
                <w:szCs w:val="22"/>
              </w:rPr>
              <w:t>ducción</w:t>
            </w:r>
            <w:r w:rsidR="005229DD" w:rsidRPr="007327AD">
              <w:rPr>
                <w:rFonts w:ascii="Arial" w:hAnsi="Arial" w:cs="Arial"/>
                <w:sz w:val="22"/>
                <w:szCs w:val="22"/>
              </w:rPr>
              <w:t xml:space="preserve"> a abordajes experimentales y t</w:t>
            </w:r>
            <w:r w:rsidRPr="007327AD">
              <w:rPr>
                <w:rFonts w:ascii="Arial" w:hAnsi="Arial" w:cs="Arial"/>
                <w:sz w:val="22"/>
                <w:szCs w:val="22"/>
              </w:rPr>
              <w:t xml:space="preserve">écnicas de laboratorio </w:t>
            </w:r>
          </w:p>
          <w:p w14:paraId="4E1AA2A5" w14:textId="232A1640" w:rsidR="00B8601F" w:rsidRDefault="00B8601F" w:rsidP="00B8601F">
            <w:pPr>
              <w:pStyle w:val="Textocomentario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Experimentos: objetivo</w:t>
            </w:r>
            <w:r w:rsidR="006E1A8F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, alcance, escalas, ventajas y limitaciones.</w:t>
            </w:r>
          </w:p>
          <w:p w14:paraId="0461AAC8" w14:textId="1E5881F1" w:rsidR="007F6D4B" w:rsidRDefault="007F6D4B" w:rsidP="00B8601F">
            <w:pPr>
              <w:pStyle w:val="Textocomentario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Mediciones</w:t>
            </w:r>
            <w:r w:rsidR="00B8601F">
              <w:rPr>
                <w:rFonts w:ascii="Arial" w:hAnsi="Arial" w:cs="Arial"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sz w:val="22"/>
                <w:szCs w:val="22"/>
              </w:rPr>
              <w:t>biomasa, tasas de crecimiento, productividad primaria</w:t>
            </w:r>
          </w:p>
          <w:p w14:paraId="0945E852" w14:textId="03C2D7A4" w:rsidR="007F6D4B" w:rsidRDefault="007F6D4B" w:rsidP="00B8601F">
            <w:pPr>
              <w:pStyle w:val="Textocomentario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Mediciones de gases de efecto invernadero</w:t>
            </w:r>
          </w:p>
          <w:p w14:paraId="07C73B8B" w14:textId="5C497622" w:rsidR="00B8601F" w:rsidRPr="007327AD" w:rsidRDefault="007F6D4B" w:rsidP="00B8601F">
            <w:pPr>
              <w:pStyle w:val="Textocomentario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Identificación y conteo de</w:t>
            </w:r>
            <w:r w:rsidR="00B8601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fitoplancton</w:t>
            </w:r>
          </w:p>
          <w:p w14:paraId="03C64E40" w14:textId="257FB31B" w:rsidR="00F943C9" w:rsidRPr="005E4BBE" w:rsidRDefault="00F943C9" w:rsidP="00B8601F">
            <w:pPr>
              <w:pStyle w:val="Textocomentario"/>
              <w:rPr>
                <w:rFonts w:ascii="Arial" w:hAnsi="Arial" w:cs="Arial"/>
                <w:i/>
                <w:sz w:val="22"/>
                <w:szCs w:val="22"/>
              </w:rPr>
            </w:pPr>
            <w:r w:rsidRPr="005E4BBE">
              <w:rPr>
                <w:rFonts w:ascii="Arial" w:hAnsi="Arial" w:cs="Arial"/>
                <w:i/>
                <w:sz w:val="22"/>
                <w:szCs w:val="22"/>
              </w:rPr>
              <w:t>Talleres:</w:t>
            </w:r>
          </w:p>
          <w:p w14:paraId="5F54869C" w14:textId="27640553" w:rsidR="008A0201" w:rsidRDefault="0058461D" w:rsidP="0058461D">
            <w:pPr>
              <w:pStyle w:val="Textocomentari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29DD" w:rsidRPr="007327AD">
              <w:rPr>
                <w:rFonts w:ascii="Arial" w:hAnsi="Arial" w:cs="Arial"/>
                <w:sz w:val="22"/>
                <w:szCs w:val="22"/>
              </w:rPr>
              <w:t>Taller de introducción al programa R para análisis de datos</w:t>
            </w:r>
          </w:p>
          <w:p w14:paraId="7F689E6E" w14:textId="77777777" w:rsidR="00A633DF" w:rsidRDefault="00A633DF" w:rsidP="00A633DF">
            <w:pPr>
              <w:pStyle w:val="Textocomentario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Preparación de datos (paquete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tidyverse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C333203" w14:textId="2358B21C" w:rsidR="00A633DF" w:rsidRDefault="00A633DF" w:rsidP="00A633DF">
            <w:pPr>
              <w:pStyle w:val="Textocomentario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Preparación de gráficos (paquete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ggplot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CB591E6" w14:textId="79E67300" w:rsidR="00B621D2" w:rsidRPr="00B621D2" w:rsidRDefault="00B621D2" w:rsidP="00B621D2">
            <w:pPr>
              <w:pStyle w:val="Textocomentario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Cálculos de biodiversidad (paquete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DAEBAAE" w14:textId="61A8DCDC" w:rsidR="00A633DF" w:rsidRDefault="008E61D6" w:rsidP="00A633DF">
            <w:pPr>
              <w:pStyle w:val="Textocomentario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Introducción a m</w:t>
            </w:r>
            <w:r w:rsidR="00A633DF">
              <w:rPr>
                <w:rFonts w:ascii="Arial" w:hAnsi="Arial" w:cs="Arial"/>
                <w:sz w:val="22"/>
                <w:szCs w:val="22"/>
              </w:rPr>
              <w:t>odelos lineales</w:t>
            </w:r>
          </w:p>
          <w:p w14:paraId="371914D5" w14:textId="569E8ECE" w:rsidR="00F943C9" w:rsidRPr="005E4BBE" w:rsidRDefault="00F943C9" w:rsidP="00B8601F">
            <w:pPr>
              <w:pStyle w:val="Textocomentario"/>
              <w:rPr>
                <w:rFonts w:ascii="Arial" w:hAnsi="Arial" w:cs="Arial"/>
                <w:i/>
                <w:sz w:val="22"/>
                <w:szCs w:val="22"/>
              </w:rPr>
            </w:pPr>
            <w:r w:rsidRPr="005E4BBE">
              <w:rPr>
                <w:rFonts w:ascii="Arial" w:hAnsi="Arial" w:cs="Arial"/>
                <w:i/>
                <w:sz w:val="22"/>
                <w:szCs w:val="22"/>
              </w:rPr>
              <w:t>Seminarios:</w:t>
            </w:r>
          </w:p>
          <w:p w14:paraId="53A61D31" w14:textId="44583A80" w:rsidR="00AF4B07" w:rsidRPr="007327AD" w:rsidRDefault="00000C9D" w:rsidP="008B7AC1">
            <w:pPr>
              <w:pStyle w:val="Textocomentari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Presentación y discusión</w:t>
            </w:r>
            <w:r w:rsidR="006F4860">
              <w:rPr>
                <w:rFonts w:ascii="Arial" w:hAnsi="Arial" w:cs="Arial"/>
                <w:sz w:val="22"/>
                <w:szCs w:val="22"/>
              </w:rPr>
              <w:t xml:space="preserve"> colectiva</w:t>
            </w:r>
            <w:r>
              <w:rPr>
                <w:rFonts w:ascii="Arial" w:hAnsi="Arial" w:cs="Arial"/>
                <w:sz w:val="22"/>
                <w:szCs w:val="22"/>
              </w:rPr>
              <w:t xml:space="preserve"> de artículos actuales en la temática</w:t>
            </w:r>
          </w:p>
          <w:p w14:paraId="657FD917" w14:textId="5CFB1DD0" w:rsidR="005E4BBE" w:rsidRPr="005E4BBE" w:rsidRDefault="005E4BBE" w:rsidP="00000C9D">
            <w:pPr>
              <w:pStyle w:val="Textocomentario"/>
              <w:rPr>
                <w:rFonts w:ascii="Arial" w:hAnsi="Arial" w:cs="Arial"/>
                <w:i/>
                <w:sz w:val="22"/>
                <w:szCs w:val="22"/>
              </w:rPr>
            </w:pPr>
            <w:r w:rsidRPr="005E4BBE">
              <w:rPr>
                <w:rFonts w:ascii="Arial" w:hAnsi="Arial" w:cs="Arial"/>
                <w:i/>
                <w:sz w:val="22"/>
                <w:szCs w:val="22"/>
              </w:rPr>
              <w:t>Práctico:</w:t>
            </w:r>
          </w:p>
          <w:p w14:paraId="2ADC6F98" w14:textId="1E7F1730" w:rsidR="00D34516" w:rsidRDefault="006F4860" w:rsidP="008B7AC1">
            <w:pPr>
              <w:pStyle w:val="Textocomentari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Desarrollo de experimento en cámaras climáticas</w:t>
            </w:r>
          </w:p>
          <w:p w14:paraId="586C0468" w14:textId="2DF01A10" w:rsidR="00000C9D" w:rsidRDefault="00000C9D" w:rsidP="00000C9D">
            <w:pPr>
              <w:pStyle w:val="Textocomentario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Estimación de biomasa mediante fluorescencia y densidad óptica</w:t>
            </w:r>
          </w:p>
          <w:p w14:paraId="5F8A4DF9" w14:textId="77777777" w:rsidR="005E4BBE" w:rsidRDefault="005E4BBE" w:rsidP="005E4BBE">
            <w:pPr>
              <w:pStyle w:val="Textocomentario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Mediciones de gases de efecto invernadero </w:t>
            </w:r>
            <w:r w:rsidR="008F29BA">
              <w:rPr>
                <w:rFonts w:ascii="Arial" w:hAnsi="Arial" w:cs="Arial"/>
                <w:sz w:val="22"/>
                <w:szCs w:val="22"/>
              </w:rPr>
              <w:t>(CO</w:t>
            </w:r>
            <w:r w:rsidR="008F29BA" w:rsidRPr="006F4860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="008F29BA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0DFE7612" w14:textId="77777777" w:rsidR="008B7AC1" w:rsidRDefault="008B7AC1" w:rsidP="008B7AC1">
            <w:pPr>
              <w:pStyle w:val="Textocomentari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 de laboratorio: Identificación y conteo de fitoplancton bajo microscopio óptico</w:t>
            </w:r>
          </w:p>
          <w:p w14:paraId="5A6751F1" w14:textId="76044FC7" w:rsidR="008B7AC1" w:rsidRPr="005E4BBE" w:rsidRDefault="008B7AC1" w:rsidP="008B7AC1">
            <w:pPr>
              <w:pStyle w:val="Textocomentari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38827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3.4 Bibliografía: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4E4E63" w14:paraId="2932CE1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20B6" w14:textId="37402E6A" w:rsidR="00AF4B07" w:rsidRPr="00941EC6" w:rsidRDefault="00D234EA" w:rsidP="00C013D0">
            <w:pPr>
              <w:pStyle w:val="Standard"/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013D0">
              <w:rPr>
                <w:rFonts w:ascii="Arial" w:hAnsi="Arial" w:cs="Arial"/>
                <w:sz w:val="18"/>
                <w:szCs w:val="18"/>
                <w:lang w:val="en-US"/>
              </w:rPr>
              <w:t xml:space="preserve">Bernhardt, J.R., Sunday, J.M., Thompson, P.L., O’Connor, M.I., 2018b. Nonlinear averaging of thermal experience predicts population growth rates in a thermally variable environment. </w:t>
            </w:r>
            <w:r w:rsidRPr="00941EC6">
              <w:rPr>
                <w:rFonts w:ascii="Arial" w:hAnsi="Arial" w:cs="Arial"/>
                <w:sz w:val="18"/>
                <w:szCs w:val="18"/>
                <w:lang w:val="de-DE"/>
              </w:rPr>
              <w:t>Proc. R. Soc. B Biol. Sci. 285, 20181076.</w:t>
            </w:r>
          </w:p>
          <w:p w14:paraId="34415DE4" w14:textId="5316F490" w:rsidR="00D234EA" w:rsidRPr="00941EC6" w:rsidRDefault="00D234EA" w:rsidP="00C013D0">
            <w:pPr>
              <w:pStyle w:val="Standard"/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13D0">
              <w:rPr>
                <w:rFonts w:ascii="Arial" w:hAnsi="Arial" w:cs="Arial"/>
                <w:sz w:val="18"/>
                <w:szCs w:val="18"/>
                <w:lang w:val="de-DE"/>
              </w:rPr>
              <w:lastRenderedPageBreak/>
              <w:t>Bestion, E., Schaum, C.-E., Yvon</w:t>
            </w:r>
            <w:r w:rsidRPr="00C013D0">
              <w:rPr>
                <w:rFonts w:ascii="Cambria Math" w:hAnsi="Cambria Math" w:cs="Cambria Math"/>
                <w:sz w:val="18"/>
                <w:szCs w:val="18"/>
                <w:lang w:val="de-DE"/>
              </w:rPr>
              <w:t>‐</w:t>
            </w:r>
            <w:r w:rsidRPr="00C013D0">
              <w:rPr>
                <w:rFonts w:ascii="Arial" w:hAnsi="Arial" w:cs="Arial"/>
                <w:sz w:val="18"/>
                <w:szCs w:val="18"/>
                <w:lang w:val="de-DE"/>
              </w:rPr>
              <w:t xml:space="preserve">Durocher, G., 2018b. </w:t>
            </w:r>
            <w:r w:rsidRPr="00C013D0">
              <w:rPr>
                <w:rFonts w:ascii="Arial" w:hAnsi="Arial" w:cs="Arial"/>
                <w:sz w:val="18"/>
                <w:szCs w:val="18"/>
                <w:lang w:val="en-US"/>
              </w:rPr>
              <w:t xml:space="preserve">Nutrient limitation constrains thermal tolerance in freshwater phytoplankton. </w:t>
            </w:r>
            <w:proofErr w:type="spellStart"/>
            <w:r w:rsidRPr="00941EC6">
              <w:rPr>
                <w:rFonts w:ascii="Arial" w:hAnsi="Arial" w:cs="Arial"/>
                <w:sz w:val="18"/>
                <w:szCs w:val="18"/>
                <w:lang w:val="en-US"/>
              </w:rPr>
              <w:t>Limnol</w:t>
            </w:r>
            <w:proofErr w:type="spellEnd"/>
            <w:r w:rsidRPr="00941EC6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41EC6">
              <w:rPr>
                <w:rFonts w:ascii="Arial" w:hAnsi="Arial" w:cs="Arial"/>
                <w:sz w:val="18"/>
                <w:szCs w:val="18"/>
                <w:lang w:val="en-US"/>
              </w:rPr>
              <w:t>Oceanogr</w:t>
            </w:r>
            <w:proofErr w:type="spellEnd"/>
            <w:r w:rsidRPr="00941EC6">
              <w:rPr>
                <w:rFonts w:ascii="Arial" w:hAnsi="Arial" w:cs="Arial"/>
                <w:sz w:val="18"/>
                <w:szCs w:val="18"/>
                <w:lang w:val="en-US"/>
              </w:rPr>
              <w:t>. Lett. 3, 436–443.</w:t>
            </w:r>
          </w:p>
          <w:p w14:paraId="32B12423" w14:textId="1BAC462C" w:rsidR="00AD7C2E" w:rsidRPr="00941EC6" w:rsidRDefault="00AD7C2E" w:rsidP="00C013D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41EC6">
              <w:rPr>
                <w:rFonts w:ascii="Arial" w:hAnsi="Arial" w:cs="Arial"/>
                <w:sz w:val="18"/>
                <w:szCs w:val="18"/>
                <w:lang w:val="en-US"/>
              </w:rPr>
              <w:t>Bestion</w:t>
            </w:r>
            <w:proofErr w:type="spellEnd"/>
            <w:r w:rsidRPr="00941EC6">
              <w:rPr>
                <w:rFonts w:ascii="Arial" w:hAnsi="Arial" w:cs="Arial"/>
                <w:sz w:val="18"/>
                <w:szCs w:val="18"/>
                <w:lang w:val="en-US"/>
              </w:rPr>
              <w:t xml:space="preserve">, E., B. </w:t>
            </w:r>
            <w:proofErr w:type="spellStart"/>
            <w:r w:rsidRPr="00941EC6">
              <w:rPr>
                <w:rFonts w:ascii="Arial" w:hAnsi="Arial" w:cs="Arial"/>
                <w:sz w:val="18"/>
                <w:szCs w:val="18"/>
                <w:lang w:val="en-US"/>
              </w:rPr>
              <w:t>Haegeman</w:t>
            </w:r>
            <w:proofErr w:type="spellEnd"/>
            <w:r w:rsidRPr="00941EC6">
              <w:rPr>
                <w:rFonts w:ascii="Arial" w:hAnsi="Arial" w:cs="Arial"/>
                <w:sz w:val="18"/>
                <w:szCs w:val="18"/>
                <w:lang w:val="en-US"/>
              </w:rPr>
              <w:t xml:space="preserve">, S. Alvarez </w:t>
            </w:r>
            <w:proofErr w:type="spellStart"/>
            <w:r w:rsidRPr="00941EC6">
              <w:rPr>
                <w:rFonts w:ascii="Arial" w:hAnsi="Arial" w:cs="Arial"/>
                <w:sz w:val="18"/>
                <w:szCs w:val="18"/>
                <w:lang w:val="en-US"/>
              </w:rPr>
              <w:t>Codesal</w:t>
            </w:r>
            <w:proofErr w:type="spellEnd"/>
            <w:r w:rsidRPr="00941EC6">
              <w:rPr>
                <w:rFonts w:ascii="Arial" w:hAnsi="Arial" w:cs="Arial"/>
                <w:sz w:val="18"/>
                <w:szCs w:val="18"/>
                <w:lang w:val="en-US"/>
              </w:rPr>
              <w:t xml:space="preserve">, A. </w:t>
            </w:r>
            <w:proofErr w:type="spellStart"/>
            <w:r w:rsidRPr="00941EC6">
              <w:rPr>
                <w:rFonts w:ascii="Arial" w:hAnsi="Arial" w:cs="Arial"/>
                <w:sz w:val="18"/>
                <w:szCs w:val="18"/>
                <w:lang w:val="en-US"/>
              </w:rPr>
              <w:t>Garreau</w:t>
            </w:r>
            <w:proofErr w:type="spellEnd"/>
            <w:r w:rsidRPr="00941EC6">
              <w:rPr>
                <w:rFonts w:ascii="Arial" w:hAnsi="Arial" w:cs="Arial"/>
                <w:sz w:val="18"/>
                <w:szCs w:val="18"/>
                <w:lang w:val="en-US"/>
              </w:rPr>
              <w:t xml:space="preserve">, M. </w:t>
            </w:r>
            <w:proofErr w:type="spellStart"/>
            <w:r w:rsidRPr="00C013D0">
              <w:rPr>
                <w:rFonts w:ascii="Arial" w:hAnsi="Arial" w:cs="Arial"/>
                <w:sz w:val="18"/>
                <w:szCs w:val="18"/>
                <w:lang w:val="en-US"/>
              </w:rPr>
              <w:t>Huet</w:t>
            </w:r>
            <w:proofErr w:type="spellEnd"/>
            <w:r w:rsidRPr="00C013D0">
              <w:rPr>
                <w:rFonts w:ascii="Arial" w:hAnsi="Arial" w:cs="Arial"/>
                <w:sz w:val="18"/>
                <w:szCs w:val="18"/>
                <w:lang w:val="en-US"/>
              </w:rPr>
              <w:t xml:space="preserve">, S. Barton, and J. M. Montoya. 2021. Phytoplankton biodiversity is more important for ecosystem functioning in highly variable thermal environments. Proc. Natl. Acad. </w:t>
            </w:r>
            <w:r w:rsidRPr="00941EC6">
              <w:rPr>
                <w:rFonts w:ascii="Arial" w:hAnsi="Arial" w:cs="Arial"/>
                <w:sz w:val="18"/>
                <w:szCs w:val="18"/>
                <w:lang w:val="en-US"/>
              </w:rPr>
              <w:t>Sci. USA 118: e2019591118. doi:10.1073/pnas.2019591118</w:t>
            </w:r>
          </w:p>
          <w:p w14:paraId="3B0CD303" w14:textId="5388F353" w:rsidR="00F82F4D" w:rsidRDefault="00F82F4D" w:rsidP="00C013D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E9A0D27" w14:textId="2519AB05" w:rsidR="00F82F4D" w:rsidRPr="00941EC6" w:rsidRDefault="00F82F4D" w:rsidP="00C013D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1EC6">
              <w:rPr>
                <w:rFonts w:ascii="Arial" w:hAnsi="Arial" w:cs="Arial"/>
                <w:sz w:val="18"/>
                <w:szCs w:val="18"/>
                <w:lang w:val="en-US"/>
              </w:rPr>
              <w:t xml:space="preserve">Boyd, P. W., C. E. Cornwall, A. Davison, S. C. </w:t>
            </w:r>
            <w:proofErr w:type="spellStart"/>
            <w:r w:rsidRPr="00941EC6">
              <w:rPr>
                <w:rFonts w:ascii="Arial" w:hAnsi="Arial" w:cs="Arial"/>
                <w:sz w:val="18"/>
                <w:szCs w:val="18"/>
                <w:lang w:val="en-US"/>
              </w:rPr>
              <w:t>Doney</w:t>
            </w:r>
            <w:proofErr w:type="spellEnd"/>
            <w:r w:rsidRPr="00941EC6">
              <w:rPr>
                <w:rFonts w:ascii="Arial" w:hAnsi="Arial" w:cs="Arial"/>
                <w:sz w:val="18"/>
                <w:szCs w:val="18"/>
                <w:lang w:val="en-US"/>
              </w:rPr>
              <w:t xml:space="preserve">, M. </w:t>
            </w:r>
            <w:proofErr w:type="spellStart"/>
            <w:r w:rsidRPr="00941EC6">
              <w:rPr>
                <w:rFonts w:ascii="Arial" w:hAnsi="Arial" w:cs="Arial"/>
                <w:sz w:val="18"/>
                <w:szCs w:val="18"/>
                <w:lang w:val="en-US"/>
              </w:rPr>
              <w:t>Fourquez</w:t>
            </w:r>
            <w:proofErr w:type="spellEnd"/>
            <w:r w:rsidRPr="00941EC6">
              <w:rPr>
                <w:rFonts w:ascii="Arial" w:hAnsi="Arial" w:cs="Arial"/>
                <w:sz w:val="18"/>
                <w:szCs w:val="18"/>
                <w:lang w:val="en-US"/>
              </w:rPr>
              <w:t>, C. L. Hurd, I. D. Lima, and A. McMinn. 2016. Biological responses to environmental heterogeneity under future ocean conditions. Glob. Change Biol. 22: 2633– 2650. doi:10.1111/gcb.13287</w:t>
            </w:r>
          </w:p>
          <w:p w14:paraId="5CDECC9F" w14:textId="7DA0D4C5" w:rsidR="00D234EA" w:rsidRPr="00941EC6" w:rsidRDefault="00D234EA" w:rsidP="00C013D0">
            <w:pPr>
              <w:pStyle w:val="Standard"/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13D0">
              <w:rPr>
                <w:rFonts w:ascii="Arial" w:hAnsi="Arial" w:cs="Arial"/>
                <w:sz w:val="18"/>
                <w:szCs w:val="18"/>
                <w:lang w:val="en-US"/>
              </w:rPr>
              <w:t xml:space="preserve">Cross, W.F., Hood, J.M., Benstead, J.P., </w:t>
            </w:r>
            <w:proofErr w:type="spellStart"/>
            <w:r w:rsidRPr="00C013D0">
              <w:rPr>
                <w:rFonts w:ascii="Arial" w:hAnsi="Arial" w:cs="Arial"/>
                <w:sz w:val="18"/>
                <w:szCs w:val="18"/>
                <w:lang w:val="en-US"/>
              </w:rPr>
              <w:t>Huryn</w:t>
            </w:r>
            <w:proofErr w:type="spellEnd"/>
            <w:r w:rsidRPr="00C013D0">
              <w:rPr>
                <w:rFonts w:ascii="Arial" w:hAnsi="Arial" w:cs="Arial"/>
                <w:sz w:val="18"/>
                <w:szCs w:val="18"/>
                <w:lang w:val="en-US"/>
              </w:rPr>
              <w:t xml:space="preserve">, A.D., Nelson, D., 2015. Interactions between temperature and nutrients across levels of ecological organization. </w:t>
            </w:r>
            <w:r w:rsidRPr="00941EC6">
              <w:rPr>
                <w:rFonts w:ascii="Arial" w:hAnsi="Arial" w:cs="Arial"/>
                <w:sz w:val="18"/>
                <w:szCs w:val="18"/>
                <w:lang w:val="en-US"/>
              </w:rPr>
              <w:t xml:space="preserve">Glob. Change Biol. 21, 1025–1040. </w:t>
            </w:r>
            <w:hyperlink r:id="rId10" w:history="1">
              <w:r w:rsidRPr="00941EC6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https://doi.org/10.1111/gcb.12809</w:t>
              </w:r>
            </w:hyperlink>
          </w:p>
          <w:p w14:paraId="108EB798" w14:textId="1DD2F6DA" w:rsidR="00D234EA" w:rsidRPr="00C013D0" w:rsidRDefault="00D234EA" w:rsidP="00C013D0">
            <w:pPr>
              <w:pStyle w:val="Standard"/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1EC6">
              <w:rPr>
                <w:rFonts w:ascii="Arial" w:hAnsi="Arial" w:cs="Arial"/>
                <w:sz w:val="18"/>
                <w:szCs w:val="18"/>
                <w:lang w:val="en-US"/>
              </w:rPr>
              <w:t xml:space="preserve">De </w:t>
            </w:r>
            <w:proofErr w:type="spellStart"/>
            <w:r w:rsidRPr="00941EC6">
              <w:rPr>
                <w:rFonts w:ascii="Arial" w:hAnsi="Arial" w:cs="Arial"/>
                <w:sz w:val="18"/>
                <w:szCs w:val="18"/>
                <w:lang w:val="en-US"/>
              </w:rPr>
              <w:t>Senerpont</w:t>
            </w:r>
            <w:proofErr w:type="spellEnd"/>
            <w:r w:rsidRPr="00941EC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41EC6">
              <w:rPr>
                <w:rFonts w:ascii="Arial" w:hAnsi="Arial" w:cs="Arial"/>
                <w:sz w:val="18"/>
                <w:szCs w:val="18"/>
                <w:lang w:val="en-US"/>
              </w:rPr>
              <w:t>Domis</w:t>
            </w:r>
            <w:proofErr w:type="spellEnd"/>
            <w:r w:rsidRPr="00941EC6">
              <w:rPr>
                <w:rFonts w:ascii="Arial" w:hAnsi="Arial" w:cs="Arial"/>
                <w:sz w:val="18"/>
                <w:szCs w:val="18"/>
                <w:lang w:val="en-US"/>
              </w:rPr>
              <w:t xml:space="preserve">, L.N., Van de Waal, D.B., </w:t>
            </w:r>
            <w:proofErr w:type="spellStart"/>
            <w:r w:rsidRPr="00941EC6">
              <w:rPr>
                <w:rFonts w:ascii="Arial" w:hAnsi="Arial" w:cs="Arial"/>
                <w:sz w:val="18"/>
                <w:szCs w:val="18"/>
                <w:lang w:val="en-US"/>
              </w:rPr>
              <w:t>Helmsing</w:t>
            </w:r>
            <w:proofErr w:type="spellEnd"/>
            <w:r w:rsidRPr="00941EC6">
              <w:rPr>
                <w:rFonts w:ascii="Arial" w:hAnsi="Arial" w:cs="Arial"/>
                <w:sz w:val="18"/>
                <w:szCs w:val="18"/>
                <w:lang w:val="en-US"/>
              </w:rPr>
              <w:t xml:space="preserve">, N.R., Van Donk, E., </w:t>
            </w:r>
            <w:proofErr w:type="spellStart"/>
            <w:r w:rsidRPr="00941EC6">
              <w:rPr>
                <w:rFonts w:ascii="Arial" w:hAnsi="Arial" w:cs="Arial"/>
                <w:sz w:val="18"/>
                <w:szCs w:val="18"/>
                <w:lang w:val="en-US"/>
              </w:rPr>
              <w:t>Mooij</w:t>
            </w:r>
            <w:proofErr w:type="spellEnd"/>
            <w:r w:rsidRPr="00941EC6">
              <w:rPr>
                <w:rFonts w:ascii="Arial" w:hAnsi="Arial" w:cs="Arial"/>
                <w:sz w:val="18"/>
                <w:szCs w:val="18"/>
                <w:lang w:val="en-US"/>
              </w:rPr>
              <w:t xml:space="preserve">, W.M., 2014. </w:t>
            </w:r>
            <w:r w:rsidRPr="00C013D0">
              <w:rPr>
                <w:rFonts w:ascii="Arial" w:hAnsi="Arial" w:cs="Arial"/>
                <w:sz w:val="18"/>
                <w:szCs w:val="18"/>
                <w:lang w:val="en-US"/>
              </w:rPr>
              <w:t>Community stoichiometry in a changing world: combined effects of warming and eutrophication on phytoplankton dynamics. Ecology 95, 1485–1495.</w:t>
            </w:r>
          </w:p>
          <w:p w14:paraId="4154D699" w14:textId="3B0A5056" w:rsidR="00D234EA" w:rsidRPr="00C013D0" w:rsidRDefault="00D234EA" w:rsidP="00C013D0">
            <w:pPr>
              <w:pStyle w:val="Standard"/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13D0">
              <w:rPr>
                <w:rFonts w:ascii="Arial" w:hAnsi="Arial" w:cs="Arial"/>
                <w:sz w:val="18"/>
                <w:szCs w:val="18"/>
                <w:lang w:val="en-US"/>
              </w:rPr>
              <w:t xml:space="preserve">Denny, M., 2017. The fallacy of the average: on the ubiquity, </w:t>
            </w:r>
            <w:proofErr w:type="gramStart"/>
            <w:r w:rsidRPr="00C013D0">
              <w:rPr>
                <w:rFonts w:ascii="Arial" w:hAnsi="Arial" w:cs="Arial"/>
                <w:sz w:val="18"/>
                <w:szCs w:val="18"/>
                <w:lang w:val="en-US"/>
              </w:rPr>
              <w:t>utility</w:t>
            </w:r>
            <w:proofErr w:type="gramEnd"/>
            <w:r w:rsidRPr="00C013D0">
              <w:rPr>
                <w:rFonts w:ascii="Arial" w:hAnsi="Arial" w:cs="Arial"/>
                <w:sz w:val="18"/>
                <w:szCs w:val="18"/>
                <w:lang w:val="en-US"/>
              </w:rPr>
              <w:t xml:space="preserve"> and continuing novelty of Jensen’s inequality. </w:t>
            </w:r>
            <w:r w:rsidRPr="00941EC6">
              <w:rPr>
                <w:rFonts w:ascii="Arial" w:hAnsi="Arial" w:cs="Arial"/>
                <w:sz w:val="18"/>
                <w:szCs w:val="18"/>
                <w:lang w:val="en-US"/>
              </w:rPr>
              <w:t xml:space="preserve">J. Exp. Biol. 220, 139–146. </w:t>
            </w:r>
            <w:hyperlink r:id="rId11" w:history="1">
              <w:r w:rsidRPr="00C013D0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https://doi.org/10.1242/jeb.140368</w:t>
              </w:r>
            </w:hyperlink>
          </w:p>
          <w:p w14:paraId="6156770B" w14:textId="127AA475" w:rsidR="00D36086" w:rsidRPr="00941EC6" w:rsidRDefault="00D234EA" w:rsidP="00C013D0">
            <w:pPr>
              <w:pStyle w:val="Standard"/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13D0">
              <w:rPr>
                <w:rFonts w:ascii="Arial" w:hAnsi="Arial" w:cs="Arial"/>
                <w:sz w:val="18"/>
                <w:szCs w:val="18"/>
                <w:lang w:val="en-US"/>
              </w:rPr>
              <w:t xml:space="preserve">Gerhard, M., </w:t>
            </w:r>
            <w:proofErr w:type="spellStart"/>
            <w:r w:rsidRPr="00C013D0">
              <w:rPr>
                <w:rFonts w:ascii="Arial" w:hAnsi="Arial" w:cs="Arial"/>
                <w:sz w:val="18"/>
                <w:szCs w:val="18"/>
                <w:lang w:val="en-US"/>
              </w:rPr>
              <w:t>Koussoroplis</w:t>
            </w:r>
            <w:proofErr w:type="spellEnd"/>
            <w:r w:rsidRPr="00C013D0">
              <w:rPr>
                <w:rFonts w:ascii="Arial" w:hAnsi="Arial" w:cs="Arial"/>
                <w:sz w:val="18"/>
                <w:szCs w:val="18"/>
                <w:lang w:val="en-US"/>
              </w:rPr>
              <w:t xml:space="preserve">, A.M., Hillebrand, H., </w:t>
            </w:r>
            <w:proofErr w:type="spellStart"/>
            <w:r w:rsidRPr="00C013D0">
              <w:rPr>
                <w:rFonts w:ascii="Arial" w:hAnsi="Arial" w:cs="Arial"/>
                <w:sz w:val="18"/>
                <w:szCs w:val="18"/>
                <w:lang w:val="en-US"/>
              </w:rPr>
              <w:t>Striebel</w:t>
            </w:r>
            <w:proofErr w:type="spellEnd"/>
            <w:r w:rsidRPr="00C013D0">
              <w:rPr>
                <w:rFonts w:ascii="Arial" w:hAnsi="Arial" w:cs="Arial"/>
                <w:sz w:val="18"/>
                <w:szCs w:val="18"/>
                <w:lang w:val="en-US"/>
              </w:rPr>
              <w:t xml:space="preserve">, M., 2019. Phytoplankton community responses to temperature fluctuations under different nutrient concentrations and stoichiometry. </w:t>
            </w:r>
            <w:r w:rsidRPr="00941EC6">
              <w:rPr>
                <w:rFonts w:ascii="Arial" w:hAnsi="Arial" w:cs="Arial"/>
                <w:sz w:val="18"/>
                <w:szCs w:val="18"/>
                <w:lang w:val="en-US"/>
              </w:rPr>
              <w:t>Ecology 100, e02834</w:t>
            </w:r>
          </w:p>
          <w:p w14:paraId="0603DD9F" w14:textId="639CDC47" w:rsidR="00D36086" w:rsidRPr="00D36086" w:rsidRDefault="00D36086" w:rsidP="00C013D0">
            <w:pPr>
              <w:pStyle w:val="Standard"/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6086">
              <w:rPr>
                <w:rFonts w:ascii="Arial" w:hAnsi="Arial" w:cs="Arial"/>
                <w:sz w:val="18"/>
                <w:szCs w:val="18"/>
                <w:lang w:val="en-US"/>
              </w:rPr>
              <w:t xml:space="preserve">Gerhard, M., </w:t>
            </w:r>
            <w:proofErr w:type="spellStart"/>
            <w:r w:rsidRPr="00D36086">
              <w:rPr>
                <w:rFonts w:ascii="Arial" w:hAnsi="Arial" w:cs="Arial"/>
                <w:sz w:val="18"/>
                <w:szCs w:val="18"/>
                <w:lang w:val="en-US"/>
              </w:rPr>
              <w:t>Koussoroplis</w:t>
            </w:r>
            <w:proofErr w:type="spellEnd"/>
            <w:r w:rsidRPr="00D36086">
              <w:rPr>
                <w:rFonts w:ascii="Arial" w:hAnsi="Arial" w:cs="Arial"/>
                <w:sz w:val="18"/>
                <w:szCs w:val="18"/>
                <w:lang w:val="en-US"/>
              </w:rPr>
              <w:t xml:space="preserve">, A. M., </w:t>
            </w:r>
            <w:proofErr w:type="spellStart"/>
            <w:r w:rsidRPr="00D36086">
              <w:rPr>
                <w:rFonts w:ascii="Arial" w:hAnsi="Arial" w:cs="Arial"/>
                <w:sz w:val="18"/>
                <w:szCs w:val="18"/>
                <w:lang w:val="en-US"/>
              </w:rPr>
              <w:t>Raatz</w:t>
            </w:r>
            <w:proofErr w:type="spellEnd"/>
            <w:r w:rsidRPr="00D36086">
              <w:rPr>
                <w:rFonts w:ascii="Arial" w:hAnsi="Arial" w:cs="Arial"/>
                <w:sz w:val="18"/>
                <w:szCs w:val="18"/>
                <w:lang w:val="en-US"/>
              </w:rPr>
              <w:t xml:space="preserve">, M., </w:t>
            </w:r>
            <w:proofErr w:type="spellStart"/>
            <w:r w:rsidRPr="00D36086">
              <w:rPr>
                <w:rFonts w:ascii="Arial" w:hAnsi="Arial" w:cs="Arial"/>
                <w:sz w:val="18"/>
                <w:szCs w:val="18"/>
                <w:lang w:val="en-US"/>
              </w:rPr>
              <w:t>Pansch</w:t>
            </w:r>
            <w:proofErr w:type="spellEnd"/>
            <w:r w:rsidRPr="00D36086">
              <w:rPr>
                <w:rFonts w:ascii="Arial" w:hAnsi="Arial" w:cs="Arial"/>
                <w:sz w:val="18"/>
                <w:szCs w:val="18"/>
                <w:lang w:val="en-US"/>
              </w:rPr>
              <w:t xml:space="preserve">, C., Fey, S. B., </w:t>
            </w:r>
            <w:proofErr w:type="spellStart"/>
            <w:r w:rsidRPr="00D36086">
              <w:rPr>
                <w:rFonts w:ascii="Arial" w:hAnsi="Arial" w:cs="Arial"/>
                <w:sz w:val="18"/>
                <w:szCs w:val="18"/>
                <w:lang w:val="en-US"/>
              </w:rPr>
              <w:t>Vajedsamiei</w:t>
            </w:r>
            <w:proofErr w:type="spellEnd"/>
            <w:r w:rsidRPr="00D36086">
              <w:rPr>
                <w:rFonts w:ascii="Arial" w:hAnsi="Arial" w:cs="Arial"/>
                <w:sz w:val="18"/>
                <w:szCs w:val="18"/>
                <w:lang w:val="en-US"/>
              </w:rPr>
              <w:t xml:space="preserve">, J., ... &amp; </w:t>
            </w:r>
            <w:proofErr w:type="spellStart"/>
            <w:r w:rsidRPr="00D36086">
              <w:rPr>
                <w:rFonts w:ascii="Arial" w:hAnsi="Arial" w:cs="Arial"/>
                <w:sz w:val="18"/>
                <w:szCs w:val="18"/>
                <w:lang w:val="en-US"/>
              </w:rPr>
              <w:t>Striebel</w:t>
            </w:r>
            <w:proofErr w:type="spellEnd"/>
            <w:r w:rsidRPr="00D36086">
              <w:rPr>
                <w:rFonts w:ascii="Arial" w:hAnsi="Arial" w:cs="Arial"/>
                <w:sz w:val="18"/>
                <w:szCs w:val="18"/>
                <w:lang w:val="en-US"/>
              </w:rPr>
              <w:t>, M. 2023. Environmental variability in aquatic ecosystems: Avenues for future multifactorial experiments. Limnology and Oceanography Letters, 8(2), 247-266.</w:t>
            </w:r>
          </w:p>
          <w:p w14:paraId="5BA97F4E" w14:textId="4352F1C6" w:rsidR="0041426A" w:rsidRPr="00F819D4" w:rsidRDefault="0041426A" w:rsidP="00F819D4">
            <w:pPr>
              <w:pStyle w:val="Standard"/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19D4">
              <w:rPr>
                <w:rFonts w:ascii="Arial" w:hAnsi="Arial" w:cs="Arial"/>
                <w:sz w:val="18"/>
                <w:szCs w:val="18"/>
                <w:lang w:val="en-US"/>
              </w:rPr>
              <w:t>Gunderson, A. R., E. J. Armstrong, and J. H. Stillman. 2016. Multiple stressors in a changing world: The need for an improved perspective on physiological responses to the dynamic marine environment. Ann. Rev. Mar. Sci. 8: 357– 378. doi:10.1146/annurev-marine-122414-033953</w:t>
            </w:r>
          </w:p>
          <w:p w14:paraId="4EDFF54A" w14:textId="6A23FE71" w:rsidR="00F82F4D" w:rsidRDefault="00F82F4D" w:rsidP="00F82F4D">
            <w:pPr>
              <w:pStyle w:val="Standard"/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82F4D">
              <w:rPr>
                <w:rFonts w:ascii="Arial" w:hAnsi="Arial" w:cs="Arial"/>
                <w:sz w:val="18"/>
                <w:szCs w:val="18"/>
                <w:lang w:val="en-US"/>
              </w:rPr>
              <w:t>Koussoroplis</w:t>
            </w:r>
            <w:proofErr w:type="spellEnd"/>
            <w:r w:rsidRPr="00F82F4D">
              <w:rPr>
                <w:rFonts w:ascii="Arial" w:hAnsi="Arial" w:cs="Arial"/>
                <w:sz w:val="18"/>
                <w:szCs w:val="18"/>
                <w:lang w:val="en-US"/>
              </w:rPr>
              <w:t xml:space="preserve">, A.-M., S. </w:t>
            </w:r>
            <w:proofErr w:type="spellStart"/>
            <w:r w:rsidRPr="00F82F4D">
              <w:rPr>
                <w:rFonts w:ascii="Arial" w:hAnsi="Arial" w:cs="Arial"/>
                <w:sz w:val="18"/>
                <w:szCs w:val="18"/>
                <w:lang w:val="en-US"/>
              </w:rPr>
              <w:t>Pincebourde</w:t>
            </w:r>
            <w:proofErr w:type="spellEnd"/>
            <w:r w:rsidRPr="00F82F4D">
              <w:rPr>
                <w:rFonts w:ascii="Arial" w:hAnsi="Arial" w:cs="Arial"/>
                <w:sz w:val="18"/>
                <w:szCs w:val="18"/>
                <w:lang w:val="en-US"/>
              </w:rPr>
              <w:t xml:space="preserve">, and A. Wacker. 2017. Understanding and predicting physiological performance of organisms in fluctuating and multifactorial environments. Ecol. </w:t>
            </w:r>
            <w:proofErr w:type="spellStart"/>
            <w:r w:rsidRPr="00F82F4D">
              <w:rPr>
                <w:rFonts w:ascii="Arial" w:hAnsi="Arial" w:cs="Arial"/>
                <w:sz w:val="18"/>
                <w:szCs w:val="18"/>
                <w:lang w:val="en-US"/>
              </w:rPr>
              <w:t>Monogr</w:t>
            </w:r>
            <w:proofErr w:type="spellEnd"/>
            <w:r w:rsidRPr="00F82F4D">
              <w:rPr>
                <w:rFonts w:ascii="Arial" w:hAnsi="Arial" w:cs="Arial"/>
                <w:sz w:val="18"/>
                <w:szCs w:val="18"/>
                <w:lang w:val="en-US"/>
              </w:rPr>
              <w:t>. 87: 178–197. doi:10.1002/ecm.1247</w:t>
            </w:r>
          </w:p>
          <w:p w14:paraId="46BB1E2E" w14:textId="3FAA764B" w:rsidR="004A2721" w:rsidRPr="004A2721" w:rsidRDefault="004A2721" w:rsidP="004A2721">
            <w:pPr>
              <w:pStyle w:val="Standard"/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2721">
              <w:rPr>
                <w:rFonts w:ascii="Arial" w:hAnsi="Arial" w:cs="Arial"/>
                <w:sz w:val="18"/>
                <w:szCs w:val="18"/>
                <w:lang w:val="en-US"/>
              </w:rPr>
              <w:t xml:space="preserve">Meerhoff, M., J. </w:t>
            </w:r>
            <w:proofErr w:type="spellStart"/>
            <w:r w:rsidRPr="004A2721">
              <w:rPr>
                <w:rFonts w:ascii="Arial" w:hAnsi="Arial" w:cs="Arial"/>
                <w:sz w:val="18"/>
                <w:szCs w:val="18"/>
                <w:lang w:val="en-US"/>
              </w:rPr>
              <w:t>Audet</w:t>
            </w:r>
            <w:proofErr w:type="spellEnd"/>
            <w:r w:rsidRPr="004A2721">
              <w:rPr>
                <w:rFonts w:ascii="Arial" w:hAnsi="Arial" w:cs="Arial"/>
                <w:sz w:val="18"/>
                <w:szCs w:val="18"/>
                <w:lang w:val="en-US"/>
              </w:rPr>
              <w:t xml:space="preserve">, T. A. Davidson, L. De </w:t>
            </w:r>
            <w:proofErr w:type="spellStart"/>
            <w:r w:rsidRPr="004A2721">
              <w:rPr>
                <w:rFonts w:ascii="Arial" w:hAnsi="Arial" w:cs="Arial"/>
                <w:sz w:val="18"/>
                <w:szCs w:val="18"/>
                <w:lang w:val="en-US"/>
              </w:rPr>
              <w:t>Meester</w:t>
            </w:r>
            <w:proofErr w:type="spellEnd"/>
            <w:r w:rsidRPr="004A2721">
              <w:rPr>
                <w:rFonts w:ascii="Arial" w:hAnsi="Arial" w:cs="Arial"/>
                <w:sz w:val="18"/>
                <w:szCs w:val="18"/>
                <w:lang w:val="en-US"/>
              </w:rPr>
              <w:t xml:space="preserve">, S. Hilt, S. </w:t>
            </w:r>
            <w:proofErr w:type="spellStart"/>
            <w:r w:rsidRPr="004A2721">
              <w:rPr>
                <w:rFonts w:ascii="Arial" w:hAnsi="Arial" w:cs="Arial"/>
                <w:sz w:val="18"/>
                <w:szCs w:val="18"/>
                <w:lang w:val="en-US"/>
              </w:rPr>
              <w:t>Kosten</w:t>
            </w:r>
            <w:proofErr w:type="spellEnd"/>
            <w:r w:rsidRPr="004A2721">
              <w:rPr>
                <w:rFonts w:ascii="Arial" w:hAnsi="Arial" w:cs="Arial"/>
                <w:sz w:val="18"/>
                <w:szCs w:val="18"/>
                <w:lang w:val="en-US"/>
              </w:rPr>
              <w:t xml:space="preserve">, Z. </w:t>
            </w:r>
            <w:proofErr w:type="gramStart"/>
            <w:r w:rsidRPr="004A2721">
              <w:rPr>
                <w:rFonts w:ascii="Arial" w:hAnsi="Arial" w:cs="Arial"/>
                <w:sz w:val="18"/>
                <w:szCs w:val="18"/>
                <w:lang w:val="en-US"/>
              </w:rPr>
              <w:t>Liu,  N</w:t>
            </w:r>
            <w:proofErr w:type="gramEnd"/>
            <w:r w:rsidRPr="004A272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721">
              <w:rPr>
                <w:rFonts w:ascii="Arial" w:hAnsi="Arial" w:cs="Arial"/>
                <w:sz w:val="18"/>
                <w:szCs w:val="18"/>
                <w:lang w:val="en-US"/>
              </w:rPr>
              <w:t>Mazzeo</w:t>
            </w:r>
            <w:proofErr w:type="spellEnd"/>
            <w:r w:rsidRPr="004A2721">
              <w:rPr>
                <w:rFonts w:ascii="Arial" w:hAnsi="Arial" w:cs="Arial"/>
                <w:sz w:val="18"/>
                <w:szCs w:val="18"/>
                <w:lang w:val="en-US"/>
              </w:rPr>
              <w:t xml:space="preserve">, H. </w:t>
            </w:r>
            <w:proofErr w:type="spellStart"/>
            <w:r w:rsidRPr="004A2721">
              <w:rPr>
                <w:rFonts w:ascii="Arial" w:hAnsi="Arial" w:cs="Arial"/>
                <w:sz w:val="18"/>
                <w:szCs w:val="18"/>
                <w:lang w:val="en-US"/>
              </w:rPr>
              <w:t>Paerl</w:t>
            </w:r>
            <w:proofErr w:type="spellEnd"/>
            <w:r w:rsidRPr="004A2721">
              <w:rPr>
                <w:rFonts w:ascii="Arial" w:hAnsi="Arial" w:cs="Arial"/>
                <w:sz w:val="18"/>
                <w:szCs w:val="18"/>
                <w:lang w:val="en-US"/>
              </w:rPr>
              <w:t xml:space="preserve">,  M. Scheffer, E. Jeppesen.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2022. </w:t>
            </w:r>
            <w:r w:rsidRPr="004A2721">
              <w:rPr>
                <w:rFonts w:ascii="Arial" w:hAnsi="Arial" w:cs="Arial"/>
                <w:sz w:val="18"/>
                <w:szCs w:val="18"/>
                <w:lang w:val="en-US"/>
              </w:rPr>
              <w:t>Feedbacks between climate change and eutrophication: revisiting the allied attack concept and how to strike back. Inland Waters. DOI: 10.1080/20442041.2022.2029317.</w:t>
            </w:r>
          </w:p>
          <w:p w14:paraId="793413C4" w14:textId="05964F80" w:rsidR="0058461D" w:rsidRPr="0058461D" w:rsidRDefault="0058461D" w:rsidP="00C013D0">
            <w:pPr>
              <w:pStyle w:val="Default"/>
              <w:rPr>
                <w:color w:val="auto"/>
                <w:sz w:val="18"/>
                <w:szCs w:val="18"/>
              </w:rPr>
            </w:pPr>
            <w:r w:rsidRPr="0058461D">
              <w:rPr>
                <w:color w:val="auto"/>
                <w:sz w:val="18"/>
                <w:szCs w:val="18"/>
              </w:rPr>
              <w:t xml:space="preserve">Parmesan, C. &amp; </w:t>
            </w:r>
            <w:proofErr w:type="spellStart"/>
            <w:r w:rsidRPr="0058461D">
              <w:rPr>
                <w:color w:val="auto"/>
                <w:sz w:val="18"/>
                <w:szCs w:val="18"/>
              </w:rPr>
              <w:t>Yohe</w:t>
            </w:r>
            <w:proofErr w:type="spellEnd"/>
            <w:r w:rsidRPr="0058461D">
              <w:rPr>
                <w:color w:val="auto"/>
                <w:sz w:val="18"/>
                <w:szCs w:val="18"/>
              </w:rPr>
              <w:t>, G., 2003. A globally coherent fingerprint of climate change impacts across natural systems. Nature, 421(6918), pp.37-42.</w:t>
            </w:r>
          </w:p>
          <w:p w14:paraId="0A7F6CCF" w14:textId="77777777" w:rsidR="0058461D" w:rsidRDefault="0058461D" w:rsidP="00C013D0">
            <w:pPr>
              <w:pStyle w:val="Default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14:paraId="1E8CD868" w14:textId="5DE738EB" w:rsidR="00D234EA" w:rsidRPr="00941EC6" w:rsidRDefault="00D234EA" w:rsidP="00C013D0">
            <w:pPr>
              <w:pStyle w:val="Default"/>
              <w:rPr>
                <w:color w:val="auto"/>
                <w:sz w:val="18"/>
                <w:szCs w:val="18"/>
                <w:lang w:val="de-DE"/>
              </w:rPr>
            </w:pPr>
            <w:r w:rsidRPr="00F82F4D">
              <w:rPr>
                <w:color w:val="auto"/>
                <w:sz w:val="18"/>
                <w:szCs w:val="18"/>
              </w:rPr>
              <w:t xml:space="preserve">Thomas, M.K., </w:t>
            </w:r>
            <w:proofErr w:type="spellStart"/>
            <w:r w:rsidRPr="00F82F4D">
              <w:rPr>
                <w:color w:val="auto"/>
                <w:sz w:val="18"/>
                <w:szCs w:val="18"/>
              </w:rPr>
              <w:t>Aranguren-Gassis</w:t>
            </w:r>
            <w:proofErr w:type="spellEnd"/>
            <w:r w:rsidRPr="00F82F4D">
              <w:rPr>
                <w:color w:val="auto"/>
                <w:sz w:val="18"/>
                <w:szCs w:val="18"/>
              </w:rPr>
              <w:t xml:space="preserve">, M., Kremer, C.T., Gould, M.R., Anderson, K., </w:t>
            </w:r>
            <w:proofErr w:type="spellStart"/>
            <w:r w:rsidRPr="00F82F4D">
              <w:rPr>
                <w:color w:val="auto"/>
                <w:sz w:val="18"/>
                <w:szCs w:val="18"/>
              </w:rPr>
              <w:t>Klausmeier</w:t>
            </w:r>
            <w:proofErr w:type="spellEnd"/>
            <w:r w:rsidRPr="00F82F4D">
              <w:rPr>
                <w:color w:val="auto"/>
                <w:sz w:val="18"/>
                <w:szCs w:val="18"/>
              </w:rPr>
              <w:t xml:space="preserve">, C.A., </w:t>
            </w:r>
            <w:proofErr w:type="spellStart"/>
            <w:r w:rsidRPr="00F82F4D">
              <w:rPr>
                <w:color w:val="auto"/>
                <w:sz w:val="18"/>
                <w:szCs w:val="18"/>
              </w:rPr>
              <w:t>Litchman</w:t>
            </w:r>
            <w:proofErr w:type="spellEnd"/>
            <w:r w:rsidRPr="00F82F4D">
              <w:rPr>
                <w:color w:val="auto"/>
                <w:sz w:val="18"/>
                <w:szCs w:val="18"/>
              </w:rPr>
              <w:t xml:space="preserve">, E., 2017. </w:t>
            </w:r>
            <w:r w:rsidRPr="00C013D0">
              <w:rPr>
                <w:color w:val="auto"/>
                <w:sz w:val="18"/>
                <w:szCs w:val="18"/>
              </w:rPr>
              <w:t xml:space="preserve">Temperature-nutrient interactions exacerbate sensitivity to warming in phytoplankton. Glob. </w:t>
            </w:r>
            <w:r w:rsidRPr="00941EC6">
              <w:rPr>
                <w:color w:val="auto"/>
                <w:sz w:val="18"/>
                <w:szCs w:val="18"/>
                <w:lang w:val="de-DE"/>
              </w:rPr>
              <w:t xml:space="preserve">Change Biol. 23, 3269–3280. https://doi.org/10.1111/gcb.13641 </w:t>
            </w:r>
          </w:p>
          <w:p w14:paraId="731C8BF9" w14:textId="02670D70" w:rsidR="00AF4B07" w:rsidRPr="00D234EA" w:rsidRDefault="00D234EA" w:rsidP="00F819D4">
            <w:pPr>
              <w:pStyle w:val="Standard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C013D0">
              <w:rPr>
                <w:rFonts w:ascii="Arial" w:hAnsi="Arial" w:cs="Arial"/>
                <w:sz w:val="18"/>
                <w:szCs w:val="18"/>
                <w:lang w:val="de-DE"/>
              </w:rPr>
              <w:t xml:space="preserve">Thomas, M.K., Kremer, C.T., Klausmeier, C.A., Litchman, E., 2012. </w:t>
            </w:r>
            <w:r w:rsidRPr="00C013D0">
              <w:rPr>
                <w:rFonts w:ascii="Arial" w:hAnsi="Arial" w:cs="Arial"/>
                <w:sz w:val="18"/>
                <w:szCs w:val="18"/>
                <w:lang w:val="en-US"/>
              </w:rPr>
              <w:t>A Global Pattern of Thermal Adaptation in Marine Phytoplankton. Science 338, 1085–1088. https://doi.org/10.1126/science.1224836</w:t>
            </w:r>
          </w:p>
        </w:tc>
      </w:tr>
    </w:tbl>
    <w:p w14:paraId="1D18FAE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3.5 Conocimientos previos requeridos: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7CA2822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6D9A" w14:textId="7DD6050C" w:rsidR="00AF4B07" w:rsidRPr="002207DA" w:rsidRDefault="008F29BA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valorará especialmente el tener conocimientos de sistema climático, limnología, ecología, y estadística; sin ser </w:t>
            </w:r>
            <w:r w:rsidR="0058461D">
              <w:rPr>
                <w:rFonts w:ascii="Arial" w:hAnsi="Arial" w:cs="Arial"/>
              </w:rPr>
              <w:t xml:space="preserve">asignaturas </w:t>
            </w:r>
            <w:r>
              <w:rPr>
                <w:rFonts w:ascii="Arial" w:hAnsi="Arial" w:cs="Arial"/>
              </w:rPr>
              <w:t>previas obligatorias.</w:t>
            </w:r>
          </w:p>
          <w:p w14:paraId="01FC916E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5163CC54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1687953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2003269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lastRenderedPageBreak/>
        <w:t>4) INFORME FINAL</w:t>
      </w:r>
      <w:r w:rsidRPr="002207DA">
        <w:rPr>
          <w:rFonts w:ascii="Arial" w:hAnsi="Arial" w:cs="Arial"/>
        </w:rPr>
        <w:t xml:space="preserve"> Al finalizar el curso, el docente responsable deberá presentar una breve evaluación de la actividad, indicando:</w:t>
      </w:r>
    </w:p>
    <w:p w14:paraId="33EB521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Pr="002207DA">
        <w:rPr>
          <w:rFonts w:ascii="Arial" w:hAnsi="Arial" w:cs="Arial"/>
        </w:rPr>
        <w:tab/>
        <w:t>Porcentaje de asistencia (% de inscriptos que alcanzaron el mínimo requerido de asistencias para aprobar el curso).</w:t>
      </w:r>
    </w:p>
    <w:p w14:paraId="65B9BB7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</w:t>
      </w:r>
      <w:r w:rsidRPr="002207DA">
        <w:rPr>
          <w:rFonts w:ascii="Arial" w:hAnsi="Arial" w:cs="Arial"/>
        </w:rPr>
        <w:tab/>
        <w:t>Participación de docentes del exterior (si corresponde).</w:t>
      </w:r>
    </w:p>
    <w:p w14:paraId="2159009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</w:t>
      </w:r>
      <w:r w:rsidRPr="002207DA">
        <w:rPr>
          <w:rFonts w:ascii="Arial" w:hAnsi="Arial" w:cs="Arial"/>
        </w:rPr>
        <w:tab/>
        <w:t>Opinión general:</w:t>
      </w:r>
    </w:p>
    <w:p w14:paraId="6E7929F3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desarrollo de la interacción docente-estudiante durante el curso?</w:t>
      </w:r>
    </w:p>
    <w:p w14:paraId="394B41D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seguimiento de las actividades del curso por parte de los estudiantes?</w:t>
      </w:r>
    </w:p>
    <w:p w14:paraId="1729CAF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 xml:space="preserve">- ¿El curso se dictó y cursó con normalidad </w:t>
      </w:r>
      <w:proofErr w:type="gramStart"/>
      <w:r w:rsidRPr="002207DA">
        <w:rPr>
          <w:rFonts w:ascii="Arial" w:hAnsi="Arial" w:cs="Arial"/>
        </w:rPr>
        <w:t>de acuerdo a</w:t>
      </w:r>
      <w:proofErr w:type="gramEnd"/>
      <w:r w:rsidRPr="002207DA">
        <w:rPr>
          <w:rFonts w:ascii="Arial" w:hAnsi="Arial" w:cs="Arial"/>
        </w:rPr>
        <w:t xml:space="preserve"> lo esperado?</w:t>
      </w:r>
    </w:p>
    <w:p w14:paraId="395C5B3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¿Surgieron imprevistos?</w:t>
      </w:r>
    </w:p>
    <w:p w14:paraId="272445FE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 xml:space="preserve">- ¿Fue necesario introducir cambios en el curso durante su realización, </w:t>
      </w:r>
      <w:proofErr w:type="gramStart"/>
      <w:r w:rsidRPr="002207DA">
        <w:rPr>
          <w:rFonts w:ascii="Arial" w:hAnsi="Arial" w:cs="Arial"/>
        </w:rPr>
        <w:t>en relación a</w:t>
      </w:r>
      <w:proofErr w:type="gramEnd"/>
      <w:r w:rsidRPr="002207DA">
        <w:rPr>
          <w:rFonts w:ascii="Arial" w:hAnsi="Arial" w:cs="Arial"/>
        </w:rPr>
        <w:t xml:space="preserve"> la propuesta original? Si fue el caso, por favor especificar.</w:t>
      </w:r>
    </w:p>
    <w:p w14:paraId="359DE22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Nota: Máximo una carilla.</w:t>
      </w:r>
    </w:p>
    <w:p w14:paraId="04FA2447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B4E620E" w14:textId="0EA8197F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5) SOLICITUD DE FINANCIAMIENTO</w:t>
      </w:r>
      <w:r w:rsidRPr="002207DA">
        <w:rPr>
          <w:rFonts w:ascii="Arial" w:hAnsi="Arial" w:cs="Arial"/>
          <w:b/>
        </w:rPr>
        <w:t xml:space="preserve"> </w:t>
      </w:r>
      <w:r w:rsidRPr="002207DA">
        <w:rPr>
          <w:rFonts w:ascii="Arial" w:hAnsi="Arial" w:cs="Arial"/>
        </w:rPr>
        <w:t>(ítem exclusivo para aquellos cursos que soliciten financiamiento). Indicar si el curso solicita fondos al Área Ge</w:t>
      </w:r>
      <w:r w:rsidR="002207DA">
        <w:rPr>
          <w:rFonts w:ascii="Arial" w:hAnsi="Arial" w:cs="Arial"/>
        </w:rPr>
        <w:t xml:space="preserve">ociencias. En caso </w:t>
      </w:r>
      <w:r w:rsidR="00A54977">
        <w:rPr>
          <w:rFonts w:ascii="Arial" w:hAnsi="Arial" w:cs="Arial"/>
        </w:rPr>
        <w:t xml:space="preserve">de </w:t>
      </w:r>
      <w:r w:rsidR="002207DA">
        <w:rPr>
          <w:rFonts w:ascii="Arial" w:hAnsi="Arial" w:cs="Arial"/>
        </w:rPr>
        <w:t>que así sea,</w:t>
      </w:r>
      <w:r w:rsidRPr="002207DA">
        <w:rPr>
          <w:rFonts w:ascii="Arial" w:hAnsi="Arial" w:cs="Arial"/>
        </w:rPr>
        <w:t xml:space="preserve"> por favor adjuntar el formulario de </w:t>
      </w:r>
      <w:r w:rsidRPr="002207DA">
        <w:rPr>
          <w:rFonts w:ascii="Arial" w:hAnsi="Arial" w:cs="Arial"/>
          <w:i/>
          <w:u w:val="single"/>
        </w:rPr>
        <w:t>Solicitud de Financiamiento</w:t>
      </w:r>
      <w:r w:rsidRPr="002207DA">
        <w:rPr>
          <w:rFonts w:ascii="Arial" w:hAnsi="Arial" w:cs="Arial"/>
        </w:rPr>
        <w:t>.</w:t>
      </w:r>
    </w:p>
    <w:p w14:paraId="1FB6D66D" w14:textId="77777777" w:rsidR="00F65B06" w:rsidRDefault="00F65B06">
      <w:pPr>
        <w:pStyle w:val="Standard"/>
        <w:spacing w:before="120" w:after="120" w:line="240" w:lineRule="auto"/>
        <w:rPr>
          <w:rFonts w:ascii="Arial" w:hAnsi="Arial" w:cs="Arial"/>
          <w:b/>
        </w:rPr>
      </w:pPr>
    </w:p>
    <w:p w14:paraId="501C39F8" w14:textId="77777777" w:rsidR="00F65B06" w:rsidRDefault="00F65B0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</w:p>
    <w:p w14:paraId="591477A5" w14:textId="444CC48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  <w:r w:rsidRPr="002207DA">
        <w:rPr>
          <w:rFonts w:ascii="Arial" w:hAnsi="Arial" w:cs="Arial"/>
          <w:b/>
        </w:rPr>
        <w:t>ANEXO</w:t>
      </w:r>
    </w:p>
    <w:p w14:paraId="013ED68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CRITERIO PARA EL CÁLCULO DE CRÉDITOS</w:t>
      </w:r>
    </w:p>
    <w:p w14:paraId="62B7B30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Comisión de Posgrado asignará los créditos a cada curso hasta un máximo de 15, atendiendo al carácter obligatorio o no del mismo, a la amplitud de su contenido y a su extensión horaria.</w:t>
      </w:r>
    </w:p>
    <w:p w14:paraId="3C5B2AA5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El estudio de esta propuesta será realizado por la Comisión de Posgrado del área.</w:t>
      </w:r>
    </w:p>
    <w:p w14:paraId="107FD5DC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•</w:t>
      </w:r>
      <w:r w:rsidRPr="002207DA">
        <w:rPr>
          <w:rFonts w:ascii="Arial" w:hAnsi="Arial" w:cs="Arial"/>
        </w:rPr>
        <w:tab/>
        <w:t>Cursos semestrales y no intensivos (mayor a 2 semanas de duración): Los créditos correspondientes al curso se calculan multiplicando la carga horaria total del curso por 1,8 y dividiéndolas entre 15. La carga horaria total del curso incluye clases teóricas y prácticas (dentro de las clases prácticas se deben incluir las salidas de campo).</w:t>
      </w:r>
    </w:p>
    <w:p w14:paraId="133C0B34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•</w:t>
      </w:r>
      <w:r w:rsidRPr="002207DA">
        <w:rPr>
          <w:rFonts w:ascii="Arial" w:hAnsi="Arial" w:cs="Arial"/>
        </w:rPr>
        <w:tab/>
        <w:t>Cursos intensivos (de 1 a 2 semanas de duración): Los créditos correspondientes al curso se calculan tomando la carga horaria total del curso dividido entre 15. La carga horaria total del curso incluye clases teóricas, prácticas y las horas no presenciales determinadas por el docente.</w:t>
      </w:r>
    </w:p>
    <w:p w14:paraId="018678CD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•</w:t>
      </w:r>
      <w:r w:rsidRPr="002207DA">
        <w:rPr>
          <w:rFonts w:ascii="Arial" w:hAnsi="Arial" w:cs="Arial"/>
        </w:rPr>
        <w:tab/>
        <w:t>Observaciones:</w:t>
      </w:r>
    </w:p>
    <w:p w14:paraId="1ED4F8B6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no intensivos: 8hs.</w:t>
      </w:r>
    </w:p>
    <w:p w14:paraId="6B562659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intensivos: 10hs.</w:t>
      </w:r>
    </w:p>
    <w:p w14:paraId="630A0D9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Cada día de salida de campo corresponden a 8hs de trabajo práctico</w:t>
      </w:r>
    </w:p>
    <w:sectPr w:rsidR="00AF4B07" w:rsidRPr="002207DA">
      <w:headerReference w:type="default" r:id="rId12"/>
      <w:pgSz w:w="11906" w:h="16838"/>
      <w:pgMar w:top="1417" w:right="1701" w:bottom="720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8DEC" w14:textId="77777777" w:rsidR="00980597" w:rsidRDefault="00980597">
      <w:r>
        <w:separator/>
      </w:r>
    </w:p>
  </w:endnote>
  <w:endnote w:type="continuationSeparator" w:id="0">
    <w:p w14:paraId="220A7F98" w14:textId="77777777" w:rsidR="00980597" w:rsidRDefault="0098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DF47" w14:textId="77777777" w:rsidR="00980597" w:rsidRDefault="00980597">
      <w:r>
        <w:rPr>
          <w:color w:val="000000"/>
        </w:rPr>
        <w:separator/>
      </w:r>
    </w:p>
  </w:footnote>
  <w:footnote w:type="continuationSeparator" w:id="0">
    <w:p w14:paraId="6D149657" w14:textId="77777777" w:rsidR="00980597" w:rsidRDefault="00980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Ind w:w="-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85"/>
      <w:gridCol w:w="6520"/>
    </w:tblGrid>
    <w:tr w:rsidR="00137C02" w14:paraId="31F3D28C" w14:textId="77777777">
      <w:tc>
        <w:tcPr>
          <w:tcW w:w="198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5C63A54" w14:textId="77777777" w:rsidR="00137C02" w:rsidRDefault="00137C02">
          <w:pPr>
            <w:pStyle w:val="Standarduser"/>
            <w:jc w:val="center"/>
          </w:pPr>
          <w:r>
            <w:rPr>
              <w:noProof/>
              <w:lang w:val="en-US" w:eastAsia="en-US" w:bidi="ar-SA"/>
            </w:rPr>
            <w:drawing>
              <wp:inline distT="0" distB="0" distL="0" distR="0" wp14:anchorId="34443647" wp14:editId="37E30A8D">
                <wp:extent cx="1101600" cy="1454040"/>
                <wp:effectExtent l="0" t="0" r="330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600" cy="145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0B88535" w14:textId="77777777" w:rsidR="00137C02" w:rsidRDefault="00137C02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  <w:r>
            <w:rPr>
              <w:smallCaps/>
              <w:color w:val="0000FF"/>
              <w:sz w:val="22"/>
              <w:szCs w:val="22"/>
            </w:rPr>
            <w:t>PROGRAMA DE DESARROLLO DE LAS CIENCIAS BASICAS</w:t>
          </w:r>
        </w:p>
        <w:p w14:paraId="41DAE9D1" w14:textId="77777777" w:rsidR="00137C02" w:rsidRDefault="00137C02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</w:p>
        <w:p w14:paraId="0648CD2C" w14:textId="77777777" w:rsidR="00137C02" w:rsidRDefault="00137C02">
          <w:pPr>
            <w:pStyle w:val="Standarduser"/>
            <w:jc w:val="center"/>
            <w:rPr>
              <w:color w:val="0000FF"/>
              <w:sz w:val="22"/>
              <w:szCs w:val="22"/>
            </w:rPr>
          </w:pPr>
          <w:r>
            <w:rPr>
              <w:color w:val="0000FF"/>
              <w:sz w:val="22"/>
              <w:szCs w:val="22"/>
            </w:rPr>
            <w:t>Ministerio de Educación y Cultura - Universidad de la República</w:t>
          </w:r>
        </w:p>
      </w:tc>
    </w:tr>
  </w:tbl>
  <w:p w14:paraId="71E11C39" w14:textId="77777777" w:rsidR="00137C02" w:rsidRDefault="00137C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5CFA"/>
    <w:multiLevelType w:val="multilevel"/>
    <w:tmpl w:val="4B127BF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06699E"/>
    <w:multiLevelType w:val="hybridMultilevel"/>
    <w:tmpl w:val="7DEE9106"/>
    <w:lvl w:ilvl="0" w:tplc="8B06D3CA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E04B20"/>
    <w:multiLevelType w:val="multilevel"/>
    <w:tmpl w:val="85404F28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33255F76"/>
    <w:multiLevelType w:val="hybridMultilevel"/>
    <w:tmpl w:val="4A040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13FE6"/>
    <w:multiLevelType w:val="hybridMultilevel"/>
    <w:tmpl w:val="5B265738"/>
    <w:lvl w:ilvl="0" w:tplc="A16C3C5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E4CE8"/>
    <w:multiLevelType w:val="hybridMultilevel"/>
    <w:tmpl w:val="5AA4D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601AA"/>
    <w:multiLevelType w:val="hybridMultilevel"/>
    <w:tmpl w:val="4E6E5DE2"/>
    <w:lvl w:ilvl="0" w:tplc="FD36C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5B3F4D"/>
    <w:multiLevelType w:val="multilevel"/>
    <w:tmpl w:val="40824C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FAE702D"/>
    <w:multiLevelType w:val="multilevel"/>
    <w:tmpl w:val="84366C5E"/>
    <w:styleLink w:val="WWNum2"/>
    <w:lvl w:ilvl="0">
      <w:numFmt w:val="bullet"/>
      <w:lvlText w:val="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9" w15:restartNumberingAfterBreak="0">
    <w:nsid w:val="637A1156"/>
    <w:multiLevelType w:val="hybridMultilevel"/>
    <w:tmpl w:val="64384C70"/>
    <w:lvl w:ilvl="0" w:tplc="2C1EC49E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7224851">
    <w:abstractNumId w:val="2"/>
  </w:num>
  <w:num w:numId="2" w16cid:durableId="2040281901">
    <w:abstractNumId w:val="0"/>
  </w:num>
  <w:num w:numId="3" w16cid:durableId="1964729488">
    <w:abstractNumId w:val="8"/>
  </w:num>
  <w:num w:numId="4" w16cid:durableId="744882306">
    <w:abstractNumId w:val="3"/>
  </w:num>
  <w:num w:numId="5" w16cid:durableId="334457455">
    <w:abstractNumId w:val="7"/>
  </w:num>
  <w:num w:numId="6" w16cid:durableId="1828132742">
    <w:abstractNumId w:val="5"/>
  </w:num>
  <w:num w:numId="7" w16cid:durableId="420491792">
    <w:abstractNumId w:val="4"/>
  </w:num>
  <w:num w:numId="8" w16cid:durableId="113717961">
    <w:abstractNumId w:val="9"/>
  </w:num>
  <w:num w:numId="9" w16cid:durableId="65765052">
    <w:abstractNumId w:val="1"/>
  </w:num>
  <w:num w:numId="10" w16cid:durableId="1905289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07"/>
    <w:rsid w:val="00000C9D"/>
    <w:rsid w:val="000351A8"/>
    <w:rsid w:val="00040979"/>
    <w:rsid w:val="000779AC"/>
    <w:rsid w:val="000A15A8"/>
    <w:rsid w:val="000B0088"/>
    <w:rsid w:val="000D1734"/>
    <w:rsid w:val="00137C02"/>
    <w:rsid w:val="00151BED"/>
    <w:rsid w:val="00195142"/>
    <w:rsid w:val="001A69F3"/>
    <w:rsid w:val="001B52A0"/>
    <w:rsid w:val="001C4F2D"/>
    <w:rsid w:val="001D6170"/>
    <w:rsid w:val="002207DA"/>
    <w:rsid w:val="00237279"/>
    <w:rsid w:val="00254BD9"/>
    <w:rsid w:val="00263F06"/>
    <w:rsid w:val="00281050"/>
    <w:rsid w:val="00291F11"/>
    <w:rsid w:val="002E4BC3"/>
    <w:rsid w:val="002E5865"/>
    <w:rsid w:val="002E7C77"/>
    <w:rsid w:val="002F16FB"/>
    <w:rsid w:val="00325398"/>
    <w:rsid w:val="003843BD"/>
    <w:rsid w:val="0038727B"/>
    <w:rsid w:val="003D43D1"/>
    <w:rsid w:val="003E1AE5"/>
    <w:rsid w:val="003F758F"/>
    <w:rsid w:val="00412ABE"/>
    <w:rsid w:val="0041426A"/>
    <w:rsid w:val="0042504B"/>
    <w:rsid w:val="00431429"/>
    <w:rsid w:val="00470E79"/>
    <w:rsid w:val="004A2721"/>
    <w:rsid w:val="004D281A"/>
    <w:rsid w:val="004E4E63"/>
    <w:rsid w:val="004F7B62"/>
    <w:rsid w:val="005229DD"/>
    <w:rsid w:val="005305BE"/>
    <w:rsid w:val="00533F1F"/>
    <w:rsid w:val="00534E53"/>
    <w:rsid w:val="00545D26"/>
    <w:rsid w:val="0058461D"/>
    <w:rsid w:val="00590F10"/>
    <w:rsid w:val="0059195A"/>
    <w:rsid w:val="005A43A1"/>
    <w:rsid w:val="005E4BBE"/>
    <w:rsid w:val="0060333C"/>
    <w:rsid w:val="00615256"/>
    <w:rsid w:val="00615DDB"/>
    <w:rsid w:val="00623303"/>
    <w:rsid w:val="00656C63"/>
    <w:rsid w:val="0066116C"/>
    <w:rsid w:val="00671D4B"/>
    <w:rsid w:val="00691B0C"/>
    <w:rsid w:val="00695D1B"/>
    <w:rsid w:val="006A7477"/>
    <w:rsid w:val="006E1A8F"/>
    <w:rsid w:val="006F4860"/>
    <w:rsid w:val="00721307"/>
    <w:rsid w:val="0072789E"/>
    <w:rsid w:val="007327AD"/>
    <w:rsid w:val="00774267"/>
    <w:rsid w:val="00796E72"/>
    <w:rsid w:val="007B2CEE"/>
    <w:rsid w:val="007D7C43"/>
    <w:rsid w:val="007F6D4B"/>
    <w:rsid w:val="00800313"/>
    <w:rsid w:val="00803DD9"/>
    <w:rsid w:val="0082376D"/>
    <w:rsid w:val="0083735B"/>
    <w:rsid w:val="00875671"/>
    <w:rsid w:val="00885CE6"/>
    <w:rsid w:val="008960F7"/>
    <w:rsid w:val="008A0201"/>
    <w:rsid w:val="008B7AC1"/>
    <w:rsid w:val="008C7327"/>
    <w:rsid w:val="008E61D6"/>
    <w:rsid w:val="008F29BA"/>
    <w:rsid w:val="00941EC6"/>
    <w:rsid w:val="00946E6E"/>
    <w:rsid w:val="00962D14"/>
    <w:rsid w:val="00980597"/>
    <w:rsid w:val="0098723A"/>
    <w:rsid w:val="00987332"/>
    <w:rsid w:val="009B062E"/>
    <w:rsid w:val="009C1C9B"/>
    <w:rsid w:val="009E33FC"/>
    <w:rsid w:val="009E7F57"/>
    <w:rsid w:val="00A24E14"/>
    <w:rsid w:val="00A36DB4"/>
    <w:rsid w:val="00A54977"/>
    <w:rsid w:val="00A579EB"/>
    <w:rsid w:val="00A633DF"/>
    <w:rsid w:val="00A76675"/>
    <w:rsid w:val="00A92032"/>
    <w:rsid w:val="00AA22AC"/>
    <w:rsid w:val="00AB3341"/>
    <w:rsid w:val="00AC75C5"/>
    <w:rsid w:val="00AD3E85"/>
    <w:rsid w:val="00AD6AA7"/>
    <w:rsid w:val="00AD7C2E"/>
    <w:rsid w:val="00AE581C"/>
    <w:rsid w:val="00AF4B07"/>
    <w:rsid w:val="00B021D1"/>
    <w:rsid w:val="00B11E47"/>
    <w:rsid w:val="00B23092"/>
    <w:rsid w:val="00B416C9"/>
    <w:rsid w:val="00B577DE"/>
    <w:rsid w:val="00B621D2"/>
    <w:rsid w:val="00B8601F"/>
    <w:rsid w:val="00B90A06"/>
    <w:rsid w:val="00C013D0"/>
    <w:rsid w:val="00C11820"/>
    <w:rsid w:val="00C45B63"/>
    <w:rsid w:val="00C52B0E"/>
    <w:rsid w:val="00C86F01"/>
    <w:rsid w:val="00C973C8"/>
    <w:rsid w:val="00CC7B81"/>
    <w:rsid w:val="00D234EA"/>
    <w:rsid w:val="00D34516"/>
    <w:rsid w:val="00D36086"/>
    <w:rsid w:val="00D65C55"/>
    <w:rsid w:val="00D80682"/>
    <w:rsid w:val="00D8127F"/>
    <w:rsid w:val="00D9475B"/>
    <w:rsid w:val="00DA3B63"/>
    <w:rsid w:val="00DB16F0"/>
    <w:rsid w:val="00DC73A6"/>
    <w:rsid w:val="00DD3F56"/>
    <w:rsid w:val="00E039A8"/>
    <w:rsid w:val="00E542B8"/>
    <w:rsid w:val="00E70A6C"/>
    <w:rsid w:val="00E829DD"/>
    <w:rsid w:val="00E95164"/>
    <w:rsid w:val="00ED2CC7"/>
    <w:rsid w:val="00EE18B5"/>
    <w:rsid w:val="00F11F84"/>
    <w:rsid w:val="00F14D06"/>
    <w:rsid w:val="00F243C0"/>
    <w:rsid w:val="00F269C6"/>
    <w:rsid w:val="00F6078B"/>
    <w:rsid w:val="00F65B06"/>
    <w:rsid w:val="00F72CFC"/>
    <w:rsid w:val="00F806F7"/>
    <w:rsid w:val="00F819D4"/>
    <w:rsid w:val="00F82F4D"/>
    <w:rsid w:val="00F943C9"/>
    <w:rsid w:val="00FC5E61"/>
    <w:rsid w:val="00FD79C5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32ED"/>
  <w15:docId w15:val="{CEA2C7A0-9899-48C5-B421-28FDC259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 w:val="22"/>
        <w:szCs w:val="22"/>
        <w:lang w:val="es-UY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HeaderandFooter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user">
    <w:name w:val="Standard (user)"/>
    <w:pPr>
      <w:suppressAutoHyphens/>
    </w:pPr>
    <w:rPr>
      <w:rFonts w:ascii="Arial" w:eastAsia="Arial" w:hAnsi="Arial" w:cs="Arial"/>
      <w:sz w:val="24"/>
      <w:szCs w:val="24"/>
      <w:lang w:val="es-ES" w:eastAsia="zh-CN" w:bidi="hi-IN"/>
    </w:rPr>
  </w:style>
  <w:style w:type="paragraph" w:styleId="Prrafodelista">
    <w:name w:val="List Paragraph"/>
    <w:basedOn w:val="Standard"/>
    <w:pPr>
      <w:ind w:left="720"/>
    </w:pPr>
  </w:style>
  <w:style w:type="paragraph" w:styleId="Textocomenta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character" w:styleId="Hipervnculo">
    <w:name w:val="Hyperlink"/>
    <w:basedOn w:val="Fuentedeprrafopredeter"/>
    <w:uiPriority w:val="99"/>
    <w:unhideWhenUsed/>
    <w:rsid w:val="001C4F2D"/>
    <w:rPr>
      <w:color w:val="0563C1" w:themeColor="hyperlink"/>
      <w:u w:val="single"/>
    </w:rPr>
  </w:style>
  <w:style w:type="paragraph" w:customStyle="1" w:styleId="Default">
    <w:name w:val="Default"/>
    <w:rsid w:val="00D234EA"/>
    <w:pPr>
      <w:widowControl/>
      <w:autoSpaceDE w:val="0"/>
      <w:adjustRightInd w:val="0"/>
      <w:textAlignment w:val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@ecos.au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242/jeb.14036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111/gcb.1280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iamgerhardk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62FAC-66B4-4418-AE02-0C906CF7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1913</Words>
  <Characters>10523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</dc:creator>
  <cp:lastModifiedBy>Analia Fein Sánchez</cp:lastModifiedBy>
  <cp:revision>2</cp:revision>
  <cp:lastPrinted>2023-04-25T15:05:00Z</cp:lastPrinted>
  <dcterms:created xsi:type="dcterms:W3CDTF">2023-07-03T12:40:00Z</dcterms:created>
  <dcterms:modified xsi:type="dcterms:W3CDTF">2023-07-03T12:40:00Z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