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7DC09" w14:textId="77777777" w:rsidR="004F03C8" w:rsidRDefault="00EA56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60"/>
        <w:jc w:val="center"/>
        <w:rPr>
          <w:rFonts w:ascii="Arial" w:eastAsia="Arial" w:hAnsi="Arial" w:cs="Arial"/>
          <w:b/>
          <w:color w:val="0000FF"/>
        </w:rPr>
      </w:pPr>
      <w:r>
        <w:rPr>
          <w:rFonts w:ascii="Arial" w:eastAsia="Arial" w:hAnsi="Arial" w:cs="Arial"/>
          <w:b/>
          <w:color w:val="0000FF"/>
        </w:rPr>
        <w:t>AREA GEOCIENCIAS</w:t>
      </w:r>
    </w:p>
    <w:p w14:paraId="364122B5" w14:textId="77777777" w:rsidR="004F03C8" w:rsidRDefault="00EA56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FORMULARIO PARA PRESENTACIÓN DE CURSOS DE POSGRADO</w:t>
      </w:r>
    </w:p>
    <w:p w14:paraId="22AE190C" w14:textId="37CFFDEC" w:rsidR="00065F6A" w:rsidRDefault="00065F6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2026</w:t>
      </w:r>
    </w:p>
    <w:p w14:paraId="7BDD40A2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205809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FECHA DE PRESENTACIÓN:</w:t>
      </w:r>
    </w:p>
    <w:tbl>
      <w:tblPr>
        <w:tblStyle w:val="a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CF449B" w:rsidRPr="00CF449B" w14:paraId="6EAE3A36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C0F4" w14:textId="4129E2F6" w:rsidR="004F03C8" w:rsidRPr="00CF449B" w:rsidRDefault="00CF449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b/>
                <w:u w:val="single"/>
              </w:rPr>
            </w:pPr>
            <w:r w:rsidRPr="00CF449B">
              <w:rPr>
                <w:rFonts w:ascii="Arial" w:eastAsia="Arial" w:hAnsi="Arial" w:cs="Arial"/>
                <w:b/>
                <w:u w:val="single"/>
              </w:rPr>
              <w:t>28</w:t>
            </w:r>
            <w:r w:rsidR="00F05015" w:rsidRPr="00CF449B">
              <w:rPr>
                <w:rFonts w:ascii="Arial" w:eastAsia="Arial" w:hAnsi="Arial" w:cs="Arial"/>
                <w:b/>
                <w:u w:val="single"/>
              </w:rPr>
              <w:t>/11/2025</w:t>
            </w:r>
          </w:p>
        </w:tc>
      </w:tr>
    </w:tbl>
    <w:p w14:paraId="2CFC2733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6078937C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1) DATOS SOBRE EL CURSO</w:t>
      </w:r>
    </w:p>
    <w:p w14:paraId="0CBEF296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1.1. Nombre completo:</w:t>
      </w:r>
    </w:p>
    <w:tbl>
      <w:tblPr>
        <w:tblStyle w:val="a0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A487F3B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D259C" w14:textId="4D392FF9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F05015">
              <w:rPr>
                <w:rFonts w:ascii="Arial" w:eastAsia="Arial" w:hAnsi="Arial" w:cs="Arial"/>
                <w:color w:val="000000"/>
              </w:rPr>
              <w:t>Eutrofización y biogeoquímica ambiental del fósforo</w:t>
            </w:r>
          </w:p>
        </w:tc>
      </w:tr>
    </w:tbl>
    <w:p w14:paraId="0A45BEB2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1.2. Nombre abreviado (</w:t>
      </w:r>
      <w:proofErr w:type="spellStart"/>
      <w:r>
        <w:rPr>
          <w:rFonts w:ascii="Arial" w:eastAsia="Arial" w:hAnsi="Arial" w:cs="Arial"/>
          <w:color w:val="000000"/>
        </w:rPr>
        <w:t>máx</w:t>
      </w:r>
      <w:proofErr w:type="spellEnd"/>
      <w:r>
        <w:rPr>
          <w:rFonts w:ascii="Arial" w:eastAsia="Arial" w:hAnsi="Arial" w:cs="Arial"/>
          <w:color w:val="000000"/>
        </w:rPr>
        <w:t xml:space="preserve"> 20 caracteres, para Bedelía):</w:t>
      </w:r>
    </w:p>
    <w:tbl>
      <w:tblPr>
        <w:tblStyle w:val="a1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2362C553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7859" w14:textId="0F99D7C9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F05015">
              <w:rPr>
                <w:rFonts w:ascii="Arial" w:eastAsia="Arial" w:hAnsi="Arial" w:cs="Arial"/>
                <w:color w:val="000000"/>
              </w:rPr>
              <w:t>Biogeoquímica del P</w:t>
            </w:r>
          </w:p>
        </w:tc>
      </w:tr>
    </w:tbl>
    <w:p w14:paraId="1F38D693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1.3. Cupo de estudiantes (si corresponde):</w:t>
      </w:r>
    </w:p>
    <w:tbl>
      <w:tblPr>
        <w:tblStyle w:val="a2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426D9CC1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7B93" w14:textId="35A478FE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corresponde</w:t>
            </w:r>
          </w:p>
        </w:tc>
      </w:tr>
    </w:tbl>
    <w:p w14:paraId="0223769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1.4. Fechas previstas para la realización </w:t>
      </w:r>
      <w:r>
        <w:rPr>
          <w:rFonts w:ascii="Arial" w:eastAsia="Arial" w:hAnsi="Arial" w:cs="Arial"/>
          <w:b/>
          <w:color w:val="000000"/>
        </w:rPr>
        <w:t>(*):</w:t>
      </w:r>
    </w:p>
    <w:tbl>
      <w:tblPr>
        <w:tblStyle w:val="a3"/>
        <w:tblW w:w="5101" w:type="dxa"/>
        <w:tblInd w:w="-55" w:type="dxa"/>
        <w:tblLayout w:type="fixed"/>
        <w:tblLook w:val="0400" w:firstRow="0" w:lastRow="0" w:firstColumn="0" w:lastColumn="0" w:noHBand="0" w:noVBand="1"/>
      </w:tblPr>
      <w:tblGrid>
        <w:gridCol w:w="3510"/>
        <w:gridCol w:w="1591"/>
      </w:tblGrid>
      <w:tr w:rsidR="004F03C8" w14:paraId="3A7C98F1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89A74C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inicio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3CEAD" w14:textId="7C84E2C2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02/03/2026</w:t>
            </w:r>
          </w:p>
        </w:tc>
      </w:tr>
      <w:tr w:rsidR="004F03C8" w14:paraId="152E20E7" w14:textId="77777777"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</w:tcPr>
          <w:p w14:paraId="5904241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Fecha Finalización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D488" w14:textId="36155345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31/03/2026</w:t>
            </w:r>
          </w:p>
        </w:tc>
      </w:tr>
    </w:tbl>
    <w:p w14:paraId="4B3DC0B7" w14:textId="77777777" w:rsidR="00033EBE" w:rsidRDefault="00033EB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Cs/>
          <w:color w:val="000000"/>
        </w:rPr>
      </w:pPr>
    </w:p>
    <w:p w14:paraId="6C7C134A" w14:textId="1FEAE052" w:rsidR="00033EBE" w:rsidRPr="00033EBE" w:rsidRDefault="00033EB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El plan es mantener el dictado del curso cada dos años.</w:t>
      </w:r>
    </w:p>
    <w:p w14:paraId="7611D8C2" w14:textId="77777777" w:rsidR="00033EBE" w:rsidRPr="00033EBE" w:rsidRDefault="00033EB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Cs/>
          <w:color w:val="000000"/>
        </w:rPr>
      </w:pPr>
    </w:p>
    <w:p w14:paraId="117132A0" w14:textId="36AED708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(*) Nota: En el ANEXO se detallan algunos criterios importantes para el llenado del formulario y el cálculo de créditos para cursos semestrales e intensivos.</w:t>
      </w:r>
    </w:p>
    <w:p w14:paraId="3EAFCDB6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97391A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1.5. Horario (tentativo):</w:t>
      </w:r>
    </w:p>
    <w:tbl>
      <w:tblPr>
        <w:tblStyle w:val="a4"/>
        <w:tblW w:w="849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529"/>
        <w:gridCol w:w="995"/>
        <w:gridCol w:w="996"/>
        <w:gridCol w:w="995"/>
        <w:gridCol w:w="994"/>
        <w:gridCol w:w="995"/>
        <w:gridCol w:w="996"/>
        <w:gridCol w:w="994"/>
      </w:tblGrid>
      <w:tr w:rsidR="004F03C8" w14:paraId="18B61902" w14:textId="77777777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8ED38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Horarios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66E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Lu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61C96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390D1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Mi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77219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Ju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11090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511F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E3C24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</w:t>
            </w:r>
          </w:p>
        </w:tc>
      </w:tr>
      <w:tr w:rsidR="00F05015" w14:paraId="3E9D4099" w14:textId="77777777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A12CF" w14:textId="77777777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Inicio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041B3" w14:textId="794303DE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9:00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55A33" w14:textId="0F299DE7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9:00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23F21" w14:textId="2FC712D3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9:00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C9E58" w14:textId="2E0D47B0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9:00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36924" w14:textId="3E13E26D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9:00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55562" w14:textId="77777777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95923" w14:textId="77777777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F05015" w14:paraId="3048454F" w14:textId="77777777">
        <w:tc>
          <w:tcPr>
            <w:tcW w:w="1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3FFDB" w14:textId="77777777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Fin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4FF9" w14:textId="1E071E2D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13:00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7CE03" w14:textId="4F27B173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13:30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718AB" w14:textId="7231B499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13:30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A07DA" w14:textId="718FF1F0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13:30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C04B8" w14:textId="7E1946BA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13:30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DEE77" w14:textId="77777777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25373" w14:textId="77777777" w:rsid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ECEA3E6" w14:textId="1B637A21" w:rsidR="00AD1369" w:rsidRDefault="00AD1369" w:rsidP="00AD1369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Esta carga horaria corresponde a la </w:t>
      </w:r>
      <w:proofErr w:type="gramStart"/>
      <w:r>
        <w:rPr>
          <w:rFonts w:ascii="Arial" w:eastAsia="Arial" w:hAnsi="Arial" w:cs="Arial"/>
          <w:color w:val="000000"/>
        </w:rPr>
        <w:t>primer semana</w:t>
      </w:r>
      <w:proofErr w:type="gramEnd"/>
      <w:r>
        <w:rPr>
          <w:rFonts w:ascii="Arial" w:eastAsia="Arial" w:hAnsi="Arial" w:cs="Arial"/>
          <w:color w:val="000000"/>
        </w:rPr>
        <w:t xml:space="preserve"> (teóricos). Los seminarios serán realizados al final de la segunda semana. La s</w:t>
      </w:r>
      <w:r w:rsidRPr="00F05015">
        <w:rPr>
          <w:rFonts w:ascii="Arial" w:eastAsia="Arial" w:hAnsi="Arial" w:cs="Arial"/>
          <w:color w:val="000000"/>
        </w:rPr>
        <w:t>emana 3</w:t>
      </w:r>
      <w:r>
        <w:rPr>
          <w:rFonts w:ascii="Arial" w:eastAsia="Arial" w:hAnsi="Arial" w:cs="Arial"/>
          <w:color w:val="000000"/>
        </w:rPr>
        <w:t xml:space="preserve"> no se dará </w:t>
      </w:r>
      <w:r w:rsidRPr="00F05015">
        <w:rPr>
          <w:rFonts w:ascii="Arial" w:eastAsia="Arial" w:hAnsi="Arial" w:cs="Arial"/>
          <w:color w:val="000000"/>
        </w:rPr>
        <w:t>clase</w:t>
      </w:r>
      <w:r>
        <w:rPr>
          <w:rFonts w:ascii="Arial" w:eastAsia="Arial" w:hAnsi="Arial" w:cs="Arial"/>
          <w:color w:val="000000"/>
        </w:rPr>
        <w:t>: preparación del examen y la</w:t>
      </w:r>
      <w:r w:rsidRPr="00F05015">
        <w:rPr>
          <w:rFonts w:ascii="Arial" w:eastAsia="Arial" w:hAnsi="Arial" w:cs="Arial"/>
          <w:color w:val="000000"/>
        </w:rPr>
        <w:t xml:space="preserve"> posibilidad de intercambio por consultas</w:t>
      </w:r>
      <w:r>
        <w:rPr>
          <w:rFonts w:ascii="Arial" w:eastAsia="Arial" w:hAnsi="Arial" w:cs="Arial"/>
          <w:color w:val="000000"/>
        </w:rPr>
        <w:t xml:space="preserve">. </w:t>
      </w:r>
      <w:r w:rsidRPr="00F05015">
        <w:rPr>
          <w:rFonts w:ascii="Arial" w:eastAsia="Arial" w:hAnsi="Arial" w:cs="Arial"/>
          <w:color w:val="000000"/>
        </w:rPr>
        <w:t>Semana 4</w:t>
      </w:r>
      <w:r>
        <w:rPr>
          <w:rFonts w:ascii="Arial" w:eastAsia="Arial" w:hAnsi="Arial" w:cs="Arial"/>
          <w:color w:val="000000"/>
        </w:rPr>
        <w:t xml:space="preserve">: </w:t>
      </w:r>
      <w:r w:rsidRPr="00F05015">
        <w:rPr>
          <w:rFonts w:ascii="Arial" w:eastAsia="Arial" w:hAnsi="Arial" w:cs="Arial"/>
          <w:color w:val="000000"/>
        </w:rPr>
        <w:t>Examen oral</w:t>
      </w:r>
      <w:r>
        <w:rPr>
          <w:rFonts w:ascii="Arial" w:eastAsia="Arial" w:hAnsi="Arial" w:cs="Arial"/>
          <w:color w:val="000000"/>
        </w:rPr>
        <w:t>.</w:t>
      </w:r>
    </w:p>
    <w:p w14:paraId="5CEB6D0B" w14:textId="77777777" w:rsidR="00AD1369" w:rsidRDefault="00AD1369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302EDDCD" w14:textId="77777777" w:rsidR="00AD1369" w:rsidRDefault="00AD1369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5F97BC24" w14:textId="4EBCAC46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1.6. Detalles de carga horaria (horas):</w:t>
      </w:r>
    </w:p>
    <w:tbl>
      <w:tblPr>
        <w:tblStyle w:val="a5"/>
        <w:tblW w:w="849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957"/>
        <w:gridCol w:w="3536"/>
      </w:tblGrid>
      <w:tr w:rsidR="004F03C8" w14:paraId="529F44B2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A61D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total del curso.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9C1A" w14:textId="6EDA144B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30</w:t>
            </w:r>
          </w:p>
        </w:tc>
      </w:tr>
      <w:tr w:rsidR="004F03C8" w14:paraId="39337BE6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43CC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de clases teóricas.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4BF81" w14:textId="7E01383F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22</w:t>
            </w:r>
          </w:p>
        </w:tc>
      </w:tr>
      <w:tr w:rsidR="004F03C8" w14:paraId="7AB8DE45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FDB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de clases prácticas (incluir salidas de campo, seminarios, presentaciones de trabajos, talleres).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7905" w14:textId="0FD7D382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  <w:p w14:paraId="05A0891D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4F03C8" w14:paraId="1E5611F3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3FAE0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u w:val="single"/>
              </w:rPr>
              <w:t>Únicamente para cursos intensivos</w:t>
            </w:r>
          </w:p>
          <w:p w14:paraId="622C15F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no presencial</w:t>
            </w:r>
          </w:p>
          <w:p w14:paraId="5052FC6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¿Durante el curso? ¿Posterior/previa al curso? Explicite.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795A" w14:textId="57B54C3F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8FE3B6D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C3A943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6FB61D4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54E4F7F4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1.7. </w:t>
      </w:r>
      <w:proofErr w:type="gramStart"/>
      <w:r>
        <w:rPr>
          <w:rFonts w:ascii="Arial" w:eastAsia="Arial" w:hAnsi="Arial" w:cs="Arial"/>
          <w:color w:val="000000"/>
        </w:rPr>
        <w:t>Actividades a realizar</w:t>
      </w:r>
      <w:proofErr w:type="gramEnd"/>
      <w:r>
        <w:rPr>
          <w:rFonts w:ascii="Arial" w:eastAsia="Arial" w:hAnsi="Arial" w:cs="Arial"/>
          <w:color w:val="000000"/>
        </w:rPr>
        <w:t xml:space="preserve"> (marcar con una cruz el casillero y especificar cantidad de horas).</w:t>
      </w:r>
    </w:p>
    <w:p w14:paraId="6F0921BB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Clases sincrónicas: </w:t>
      </w:r>
    </w:p>
    <w:p w14:paraId="4C5FF7D2" w14:textId="77777777" w:rsidR="004F03C8" w:rsidRDefault="004F03C8">
      <w:pPr>
        <w:jc w:val="both"/>
        <w:rPr>
          <w:rFonts w:ascii="Arial" w:eastAsia="Arial" w:hAnsi="Arial" w:cs="Arial"/>
        </w:rPr>
      </w:pPr>
    </w:p>
    <w:tbl>
      <w:tblPr>
        <w:tblStyle w:val="a6"/>
        <w:tblW w:w="849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972"/>
        <w:gridCol w:w="709"/>
        <w:gridCol w:w="2124"/>
        <w:gridCol w:w="2688"/>
      </w:tblGrid>
      <w:tr w:rsidR="004F03C8" w14:paraId="65051988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31AE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Clases expositivas teóricas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C64DE" w14:textId="0F96417E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654A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AEA8D" w14:textId="52C86EB6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22</w:t>
            </w:r>
          </w:p>
        </w:tc>
      </w:tr>
      <w:tr w:rsidR="004F03C8" w14:paraId="1C1E24A3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16F6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Trabajo de campo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C1CC3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823DA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4592F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</w:tr>
      <w:tr w:rsidR="004F03C8" w14:paraId="0D793136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03C68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Talleres de discusión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A4EA7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83397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FCFF2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</w:tr>
      <w:tr w:rsidR="004F03C8" w14:paraId="41FB6C12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A43A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Seminarios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64D71" w14:textId="6E4C1282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5B202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AB4EB" w14:textId="776EEF9F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  <w:tr w:rsidR="004F03C8" w14:paraId="7D333D68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BA11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Trabajo de laboratorio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7FB9D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C7CE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116C4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1C7C7AD" w14:textId="77777777" w:rsidR="004F03C8" w:rsidRDefault="004F03C8">
      <w:pPr>
        <w:jc w:val="both"/>
        <w:rPr>
          <w:rFonts w:ascii="Arial" w:eastAsia="Arial" w:hAnsi="Arial" w:cs="Arial"/>
        </w:rPr>
      </w:pPr>
    </w:p>
    <w:p w14:paraId="58440C4A" w14:textId="75EBA443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Trabajo domicilio (solo cursos intensivos con componente sincrónica diaria mayor a 6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y evaluación el último día)</w:t>
      </w:r>
    </w:p>
    <w:p w14:paraId="459867EC" w14:textId="77777777" w:rsidR="004F03C8" w:rsidRDefault="004F03C8">
      <w:pPr>
        <w:jc w:val="both"/>
        <w:rPr>
          <w:rFonts w:ascii="Arial" w:eastAsia="Arial" w:hAnsi="Arial" w:cs="Arial"/>
          <w:highlight w:val="yellow"/>
        </w:rPr>
      </w:pPr>
    </w:p>
    <w:tbl>
      <w:tblPr>
        <w:tblStyle w:val="a7"/>
        <w:tblW w:w="85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2126"/>
        <w:gridCol w:w="2126"/>
        <w:gridCol w:w="2126"/>
      </w:tblGrid>
      <w:tr w:rsidR="004F03C8" w14:paraId="6EE42F9B" w14:textId="77777777">
        <w:tc>
          <w:tcPr>
            <w:tcW w:w="2126" w:type="dxa"/>
          </w:tcPr>
          <w:p w14:paraId="02D797F0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Actividades no presenciales</w:t>
            </w:r>
          </w:p>
        </w:tc>
        <w:tc>
          <w:tcPr>
            <w:tcW w:w="2126" w:type="dxa"/>
          </w:tcPr>
          <w:p w14:paraId="23EC8571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6" w:type="dxa"/>
          </w:tcPr>
          <w:p w14:paraId="43C7FCD2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126" w:type="dxa"/>
          </w:tcPr>
          <w:p w14:paraId="6A3ADAA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rPr>
                <w:rFonts w:cs="Calibri"/>
                <w:color w:val="000000"/>
              </w:rPr>
            </w:pPr>
          </w:p>
        </w:tc>
      </w:tr>
    </w:tbl>
    <w:p w14:paraId="7059F0FD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En el caso de que el curso incluya una salida de campo, ¿estaría dispuesto a aprovechar la salida de campo en el interior del país y visitar una escuela rural?:</w:t>
      </w:r>
    </w:p>
    <w:p w14:paraId="4C18BD91" w14:textId="77777777" w:rsidR="00AD1369" w:rsidRDefault="00AD1369">
      <w:pPr>
        <w:suppressAutoHyphens w:val="0"/>
        <w:textAlignment w:val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br w:type="page"/>
      </w:r>
    </w:p>
    <w:p w14:paraId="385039E7" w14:textId="09884702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1.8. Evaluación</w:t>
      </w:r>
    </w:p>
    <w:p w14:paraId="78CA124E" w14:textId="2E452E4F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Los cursos se aprobarán con una evaluación final individual en la que el estudiante deberá alcanzar como mínimo una calificación correspondiente al concepto Aceptable: el rendimiento alcanza el criterio mínimo de suficiencia (</w:t>
      </w:r>
      <w:proofErr w:type="gramStart"/>
      <w:r>
        <w:rPr>
          <w:rFonts w:ascii="Arial" w:eastAsia="Arial" w:hAnsi="Arial" w:cs="Arial"/>
        </w:rPr>
        <w:t>de acuerdo a</w:t>
      </w:r>
      <w:proofErr w:type="gramEnd"/>
      <w:r>
        <w:rPr>
          <w:rFonts w:ascii="Arial" w:eastAsia="Arial" w:hAnsi="Arial" w:cs="Arial"/>
        </w:rPr>
        <w:t xml:space="preserve"> la escala de la Udelar).</w:t>
      </w:r>
    </w:p>
    <w:p w14:paraId="65C7150A" w14:textId="5251070C" w:rsidR="00F05015" w:rsidRDefault="00F05015">
      <w:pPr>
        <w:suppressAutoHyphens w:val="0"/>
        <w:textAlignment w:val="auto"/>
        <w:rPr>
          <w:rFonts w:ascii="Arial" w:eastAsia="Arial" w:hAnsi="Arial" w:cs="Arial"/>
          <w:color w:val="000000"/>
        </w:rPr>
      </w:pPr>
    </w:p>
    <w:p w14:paraId="7B2D2DCC" w14:textId="02788D08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evaluación del curso será mediante (marque con una cruz):</w:t>
      </w:r>
    </w:p>
    <w:tbl>
      <w:tblPr>
        <w:tblStyle w:val="a8"/>
        <w:tblW w:w="83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2410"/>
        <w:gridCol w:w="5247"/>
      </w:tblGrid>
      <w:tr w:rsidR="004F03C8" w14:paraId="09253797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E7D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7" w:type="dxa"/>
            <w:gridSpan w:val="2"/>
            <w:tcBorders>
              <w:left w:val="single" w:sz="4" w:space="0" w:color="000000"/>
            </w:tcBorders>
          </w:tcPr>
          <w:p w14:paraId="14C5F3C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Examen escrito</w:t>
            </w:r>
          </w:p>
        </w:tc>
      </w:tr>
      <w:tr w:rsidR="004F03C8" w14:paraId="67BF5FE3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54B9" w14:textId="0532A1DF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7657" w:type="dxa"/>
            <w:gridSpan w:val="2"/>
            <w:tcBorders>
              <w:left w:val="single" w:sz="4" w:space="0" w:color="000000"/>
            </w:tcBorders>
          </w:tcPr>
          <w:p w14:paraId="6709383D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Examen oral</w:t>
            </w:r>
          </w:p>
        </w:tc>
      </w:tr>
      <w:tr w:rsidR="004F03C8" w14:paraId="6D73445D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7E9A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3DBAC72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Trabajo escrito/proyecto</w:t>
            </w:r>
          </w:p>
        </w:tc>
      </w:tr>
      <w:tr w:rsidR="004F03C8" w14:paraId="056911D6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9167" w14:textId="2D036F71" w:rsidR="004F03C8" w:rsidRDefault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112B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Otro tipo (especificar):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AF05" w14:textId="7EC41D09" w:rsidR="004F03C8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 tomará en consideración la actividad del estudiante durante el curso.</w:t>
            </w:r>
          </w:p>
        </w:tc>
      </w:tr>
    </w:tbl>
    <w:p w14:paraId="2ADDE901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1E408FED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Para cursos intensivos, especificar si la evaluación será realizada el último día o posterior a la finalización del curso (al menos 1 semana después) (*):</w:t>
      </w:r>
    </w:p>
    <w:tbl>
      <w:tblPr>
        <w:tblStyle w:val="a9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5FB41C07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10CA" w14:textId="5529B72D" w:rsidR="00F05015" w:rsidRP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F05015">
              <w:rPr>
                <w:rFonts w:ascii="Arial" w:eastAsia="Arial" w:hAnsi="Arial" w:cs="Arial"/>
                <w:color w:val="000000"/>
              </w:rPr>
              <w:t>Semana 1</w:t>
            </w:r>
            <w:r>
              <w:rPr>
                <w:rFonts w:ascii="Arial" w:eastAsia="Arial" w:hAnsi="Arial" w:cs="Arial"/>
                <w:color w:val="000000"/>
              </w:rPr>
              <w:t xml:space="preserve">: </w:t>
            </w:r>
            <w:r w:rsidRPr="00F05015">
              <w:rPr>
                <w:rFonts w:ascii="Arial" w:eastAsia="Arial" w:hAnsi="Arial" w:cs="Arial"/>
                <w:color w:val="000000"/>
              </w:rPr>
              <w:t>Teóricos (intensivo)</w:t>
            </w:r>
          </w:p>
          <w:p w14:paraId="426FF55E" w14:textId="0B273AE6" w:rsidR="00F05015" w:rsidRP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F05015">
              <w:rPr>
                <w:rFonts w:ascii="Arial" w:eastAsia="Arial" w:hAnsi="Arial" w:cs="Arial"/>
                <w:color w:val="000000"/>
              </w:rPr>
              <w:t>Semana 2</w:t>
            </w:r>
            <w:r>
              <w:rPr>
                <w:rFonts w:ascii="Arial" w:eastAsia="Arial" w:hAnsi="Arial" w:cs="Arial"/>
                <w:color w:val="000000"/>
              </w:rPr>
              <w:t xml:space="preserve">: </w:t>
            </w:r>
            <w:r w:rsidRPr="00F05015">
              <w:rPr>
                <w:rFonts w:ascii="Arial" w:eastAsia="Arial" w:hAnsi="Arial" w:cs="Arial"/>
                <w:color w:val="000000"/>
              </w:rPr>
              <w:t>Presentación de seminarios</w:t>
            </w:r>
          </w:p>
          <w:p w14:paraId="5C24E4C6" w14:textId="2F255DC3" w:rsidR="00F05015" w:rsidRP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F05015">
              <w:rPr>
                <w:rFonts w:ascii="Arial" w:eastAsia="Arial" w:hAnsi="Arial" w:cs="Arial"/>
                <w:color w:val="000000"/>
              </w:rPr>
              <w:t>Semana 3</w:t>
            </w:r>
            <w:r>
              <w:rPr>
                <w:rFonts w:ascii="Arial" w:eastAsia="Arial" w:hAnsi="Arial" w:cs="Arial"/>
                <w:color w:val="000000"/>
              </w:rPr>
              <w:t xml:space="preserve">: </w:t>
            </w:r>
            <w:r w:rsidRPr="00F05015">
              <w:rPr>
                <w:rFonts w:ascii="Arial" w:eastAsia="Arial" w:hAnsi="Arial" w:cs="Arial"/>
                <w:color w:val="000000"/>
              </w:rPr>
              <w:t>Sin clase. Preparación de examen y posibilidad de intercambio por consultas</w:t>
            </w:r>
          </w:p>
          <w:p w14:paraId="403C2DC1" w14:textId="127F792C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F05015">
              <w:rPr>
                <w:rFonts w:ascii="Arial" w:eastAsia="Arial" w:hAnsi="Arial" w:cs="Arial"/>
                <w:color w:val="000000"/>
              </w:rPr>
              <w:t>Semana 4</w:t>
            </w:r>
            <w:r>
              <w:rPr>
                <w:rFonts w:ascii="Arial" w:eastAsia="Arial" w:hAnsi="Arial" w:cs="Arial"/>
                <w:color w:val="000000"/>
              </w:rPr>
              <w:t xml:space="preserve">: </w:t>
            </w:r>
            <w:r w:rsidRPr="00F05015">
              <w:rPr>
                <w:rFonts w:ascii="Arial" w:eastAsia="Arial" w:hAnsi="Arial" w:cs="Arial"/>
                <w:color w:val="000000"/>
              </w:rPr>
              <w:t>Examen oral</w:t>
            </w:r>
          </w:p>
        </w:tc>
      </w:tr>
    </w:tbl>
    <w:p w14:paraId="1BA42D5C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</w:p>
    <w:p w14:paraId="046CDCB8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1.9. Especifique si el curso admite a estudiantes de grado y de otras carreras de posgrado:</w:t>
      </w:r>
    </w:p>
    <w:tbl>
      <w:tblPr>
        <w:tblStyle w:val="aa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41B9B8C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F082" w14:textId="1F5000EE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Si. </w:t>
            </w:r>
          </w:p>
        </w:tc>
      </w:tr>
    </w:tbl>
    <w:p w14:paraId="222B082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1.10. Indicar modalidad de dictado (virtual/presencial/mixta):</w:t>
      </w:r>
    </w:p>
    <w:tbl>
      <w:tblPr>
        <w:tblStyle w:val="ab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1F6383A8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028B" w14:textId="77777777" w:rsidR="00F05015" w:rsidRPr="00F05015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F05015">
              <w:rPr>
                <w:rFonts w:ascii="Arial" w:eastAsia="Arial" w:hAnsi="Arial" w:cs="Arial"/>
                <w:color w:val="000000"/>
              </w:rPr>
              <w:t xml:space="preserve">Las instancias presenciales se llevarán a cabo en la sede Maldonado del CURE. </w:t>
            </w:r>
          </w:p>
          <w:p w14:paraId="67E38B4A" w14:textId="7DA05001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F05015">
              <w:rPr>
                <w:rFonts w:ascii="Arial" w:eastAsia="Arial" w:hAnsi="Arial" w:cs="Arial"/>
                <w:color w:val="000000"/>
              </w:rPr>
              <w:t xml:space="preserve">Si hay estudiantes de otras sedes, las clases se transmitirán de forma sincrónica por </w:t>
            </w:r>
            <w:proofErr w:type="gramStart"/>
            <w:r w:rsidRPr="00F05015">
              <w:rPr>
                <w:rFonts w:ascii="Arial" w:eastAsia="Arial" w:hAnsi="Arial" w:cs="Arial"/>
                <w:color w:val="000000"/>
              </w:rPr>
              <w:t>Zoom</w:t>
            </w:r>
            <w:proofErr w:type="gramEnd"/>
            <w:r w:rsidRPr="00F05015">
              <w:rPr>
                <w:rFonts w:ascii="Arial" w:eastAsia="Arial" w:hAnsi="Arial" w:cs="Arial"/>
                <w:color w:val="000000"/>
              </w:rPr>
              <w:t xml:space="preserve"> y el curso adoptará un formato mixto (presencial/virtual sincrónico). </w:t>
            </w:r>
          </w:p>
        </w:tc>
      </w:tr>
    </w:tbl>
    <w:p w14:paraId="47BE7B7A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0B0F0C60" w14:textId="77777777" w:rsidR="00AD1369" w:rsidRDefault="00AD1369">
      <w:pPr>
        <w:suppressAutoHyphens w:val="0"/>
        <w:textAlignment w:val="auto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br w:type="page"/>
      </w:r>
    </w:p>
    <w:p w14:paraId="7193E10B" w14:textId="3F506A69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2) DATOS SOBRE EL/LOS COORDINADOR/ES Y DOCENTES PARTICIPANTES DEL CURSO</w:t>
      </w:r>
    </w:p>
    <w:p w14:paraId="512D4826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5135BC09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2.1 Coordinador/es del curso (nombre y correo electrónico de contacto):</w:t>
      </w:r>
    </w:p>
    <w:tbl>
      <w:tblPr>
        <w:tblStyle w:val="ac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E88BE2E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8422" w14:textId="46F5208C" w:rsidR="004F03C8" w:rsidRDefault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Guillermo Goyenola, Mariana Meerhoff (</w:t>
            </w:r>
            <w:hyperlink r:id="rId8" w:tgtFrame="_blank" w:history="1">
              <w:r w:rsidRPr="00F05015">
                <w:rPr>
                  <w:rStyle w:val="Hipervnculo"/>
                  <w:rFonts w:ascii="Arial" w:eastAsia="Arial" w:hAnsi="Arial" w:cs="Arial"/>
                </w:rPr>
                <w:t>goyenola@gmail.com</w:t>
              </w:r>
            </w:hyperlink>
            <w:r w:rsidRPr="00F05015">
              <w:rPr>
                <w:rFonts w:ascii="Arial" w:eastAsia="Arial" w:hAnsi="Arial" w:cs="Arial"/>
                <w:color w:val="000000"/>
              </w:rPr>
              <w:t xml:space="preserve">, </w:t>
            </w:r>
            <w:hyperlink r:id="rId9" w:tgtFrame="_blank" w:history="1">
              <w:r w:rsidRPr="00F05015">
                <w:rPr>
                  <w:rStyle w:val="Hipervnculo"/>
                  <w:rFonts w:ascii="Arial" w:eastAsia="Arial" w:hAnsi="Arial" w:cs="Arial"/>
                </w:rPr>
                <w:t>mm@ecos.au.dk</w:t>
              </w:r>
            </w:hyperlink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</w:tr>
    </w:tbl>
    <w:p w14:paraId="0BB200AF" w14:textId="77777777" w:rsidR="00F05015" w:rsidRDefault="00F05015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1EF4BC89" w14:textId="46D0F9A3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2.2 Docentes participantes (PEDECIBA):</w:t>
      </w:r>
    </w:p>
    <w:tbl>
      <w:tblPr>
        <w:tblStyle w:val="ad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27E3B648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94BC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5D4B4A8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2.3 Docentes participantes invitados (no PEDECIBA, adjuntar CV):</w:t>
      </w:r>
    </w:p>
    <w:tbl>
      <w:tblPr>
        <w:tblStyle w:val="ae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6865808C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7C55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901797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2.4 Otros colaboradores (por ej., estudiantes de doctorado):</w:t>
      </w:r>
    </w:p>
    <w:tbl>
      <w:tblPr>
        <w:tblStyle w:val="af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25024CBC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8933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4468EA7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3) CONTENIDO ACADÉMICO DEL CURSO</w:t>
      </w:r>
    </w:p>
    <w:p w14:paraId="01DB8C04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3.1 Objetivo de la asignatura:</w:t>
      </w:r>
    </w:p>
    <w:tbl>
      <w:tblPr>
        <w:tblStyle w:val="af0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80221F0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4808" w14:textId="508AB42C" w:rsidR="004F03C8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F05015">
              <w:rPr>
                <w:rFonts w:ascii="Arial" w:eastAsia="Arial" w:hAnsi="Arial" w:cs="Arial"/>
                <w:color w:val="000000"/>
              </w:rPr>
              <w:t>La producción de alimentos para 8.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Pr="00F05015">
              <w:rPr>
                <w:rFonts w:ascii="Arial" w:eastAsia="Arial" w:hAnsi="Arial" w:cs="Arial"/>
                <w:color w:val="000000"/>
              </w:rPr>
              <w:t xml:space="preserve">00 millones de personas depende del uso de fertilizantes fosforados provenientes de reservas minerales. Sin embargo, la reserva de P es un recurso natural no renovable. En paralelo, la baja eficiencia en el uso productivo del P </w:t>
            </w:r>
            <w:r w:rsidR="0036432C">
              <w:rPr>
                <w:rFonts w:ascii="Arial" w:eastAsia="Arial" w:hAnsi="Arial" w:cs="Arial"/>
                <w:color w:val="000000"/>
              </w:rPr>
              <w:t xml:space="preserve">y la ineficiencia del manejo de aguas residuales, </w:t>
            </w:r>
            <w:r w:rsidRPr="00F05015">
              <w:rPr>
                <w:rFonts w:ascii="Arial" w:eastAsia="Arial" w:hAnsi="Arial" w:cs="Arial"/>
                <w:color w:val="000000"/>
              </w:rPr>
              <w:t>tiene</w:t>
            </w:r>
            <w:r w:rsidR="0036432C">
              <w:rPr>
                <w:rFonts w:ascii="Arial" w:eastAsia="Arial" w:hAnsi="Arial" w:cs="Arial"/>
                <w:color w:val="000000"/>
              </w:rPr>
              <w:t>n</w:t>
            </w:r>
            <w:r w:rsidRPr="00F05015">
              <w:rPr>
                <w:rFonts w:ascii="Arial" w:eastAsia="Arial" w:hAnsi="Arial" w:cs="Arial"/>
                <w:color w:val="000000"/>
              </w:rPr>
              <w:t xml:space="preserve"> un impacto ambiental de gran magnitud sobre la estructura y el funcionamiento de los ecosistemas acuáticos y sobre el abastecimiento de agua de calidad para uso humano. El cambio climático acentúa los desafíos asociados a esta problemática. Este curso pretende contribuir a una mayor comprensión de la influencia antrópica en el ciclo del P, y a ubicar la problemática en la agenda académica local.</w:t>
            </w:r>
          </w:p>
        </w:tc>
      </w:tr>
    </w:tbl>
    <w:p w14:paraId="44DCD585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3.2 Metodología de enseñanza:</w:t>
      </w:r>
    </w:p>
    <w:tbl>
      <w:tblPr>
        <w:tblStyle w:val="af1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5CC7F821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17450" w14:textId="2B603418" w:rsidR="004F03C8" w:rsidRDefault="00F05015" w:rsidP="00F050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Clases expositivas, discusión e intercambio, análisis de bibliografía y realización de seminarios.</w:t>
            </w:r>
          </w:p>
        </w:tc>
      </w:tr>
    </w:tbl>
    <w:p w14:paraId="7E86E65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3.3 Temario:</w:t>
      </w:r>
    </w:p>
    <w:tbl>
      <w:tblPr>
        <w:tblStyle w:val="af2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2D8E9B5B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D771" w14:textId="77777777" w:rsidR="00F05015" w:rsidRPr="00E630A9" w:rsidRDefault="00F05015" w:rsidP="00F05015">
            <w:pPr>
              <w:pStyle w:val="Listaconvietas"/>
              <w:spacing w:before="0" w:after="0" w:line="360" w:lineRule="auto"/>
              <w:ind w:left="720" w:hanging="360"/>
              <w:rPr>
                <w:lang w:val="es-ES"/>
              </w:rPr>
            </w:pPr>
            <w:r w:rsidRPr="00E630A9">
              <w:rPr>
                <w:lang w:val="es-ES"/>
              </w:rPr>
              <w:t>P como elemento químico</w:t>
            </w:r>
          </w:p>
          <w:p w14:paraId="6A2ACB03" w14:textId="77777777" w:rsidR="00F05015" w:rsidRPr="00E630A9" w:rsidRDefault="00F05015" w:rsidP="00F05015">
            <w:pPr>
              <w:pStyle w:val="Listaconvietas"/>
              <w:spacing w:before="0" w:after="0" w:line="360" w:lineRule="auto"/>
              <w:ind w:left="720" w:hanging="360"/>
              <w:rPr>
                <w:lang w:val="es-ES"/>
              </w:rPr>
            </w:pPr>
            <w:r w:rsidRPr="00E630A9">
              <w:rPr>
                <w:lang w:val="es-ES"/>
              </w:rPr>
              <w:t>P en la Biósfera: Ciclo biogeoquímico</w:t>
            </w:r>
          </w:p>
          <w:p w14:paraId="06BB1E71" w14:textId="77777777" w:rsidR="00F05015" w:rsidRPr="00E630A9" w:rsidRDefault="00F05015" w:rsidP="00F05015">
            <w:pPr>
              <w:pStyle w:val="Listaconvietas"/>
              <w:spacing w:before="0" w:after="0" w:line="360" w:lineRule="auto"/>
              <w:ind w:left="720" w:hanging="360"/>
              <w:rPr>
                <w:lang w:val="es-ES"/>
              </w:rPr>
            </w:pPr>
            <w:r w:rsidRPr="00E630A9">
              <w:rPr>
                <w:lang w:val="es-ES"/>
              </w:rPr>
              <w:t>La paradoja del fósforo</w:t>
            </w:r>
          </w:p>
          <w:p w14:paraId="538B7B30" w14:textId="77777777" w:rsidR="00F05015" w:rsidRPr="00E630A9" w:rsidRDefault="00F05015" w:rsidP="00F05015">
            <w:pPr>
              <w:pStyle w:val="Listaconvietas"/>
              <w:spacing w:before="0" w:after="0" w:line="360" w:lineRule="auto"/>
              <w:ind w:left="720" w:hanging="360"/>
              <w:rPr>
                <w:lang w:val="es-ES"/>
              </w:rPr>
            </w:pPr>
            <w:r w:rsidRPr="00E630A9">
              <w:rPr>
                <w:lang w:val="es-ES"/>
              </w:rPr>
              <w:t>El concepto de estado trófico</w:t>
            </w:r>
          </w:p>
          <w:p w14:paraId="2901CBBD" w14:textId="77777777" w:rsidR="00F05015" w:rsidRPr="00E630A9" w:rsidRDefault="00F05015" w:rsidP="00F05015">
            <w:pPr>
              <w:pStyle w:val="Listaconvietas"/>
              <w:spacing w:before="0" w:after="0" w:line="360" w:lineRule="auto"/>
              <w:ind w:left="720" w:hanging="360"/>
              <w:rPr>
                <w:lang w:val="es-ES"/>
              </w:rPr>
            </w:pPr>
            <w:r w:rsidRPr="00E630A9">
              <w:rPr>
                <w:lang w:val="es-ES"/>
              </w:rPr>
              <w:t>Eutrofización, regímenes alternativos, histéresis y resiliencia</w:t>
            </w:r>
          </w:p>
          <w:p w14:paraId="44F1C955" w14:textId="77777777" w:rsidR="00F05015" w:rsidRPr="00E630A9" w:rsidRDefault="00F05015" w:rsidP="00F05015">
            <w:pPr>
              <w:pStyle w:val="Listaconvietas"/>
              <w:spacing w:before="0" w:after="0" w:line="360" w:lineRule="auto"/>
              <w:ind w:left="720" w:hanging="360"/>
              <w:rPr>
                <w:lang w:val="es-ES"/>
              </w:rPr>
            </w:pPr>
            <w:r w:rsidRPr="00E630A9">
              <w:rPr>
                <w:lang w:val="es-ES"/>
              </w:rPr>
              <w:t>La cuenca y el “</w:t>
            </w:r>
            <w:r w:rsidRPr="00F87F99">
              <w:rPr>
                <w:i/>
                <w:iCs/>
                <w:lang w:val="es-UY"/>
              </w:rPr>
              <w:t>phosphorus transfer continuum</w:t>
            </w:r>
            <w:r w:rsidRPr="00E630A9">
              <w:rPr>
                <w:lang w:val="es-ES"/>
              </w:rPr>
              <w:t>”</w:t>
            </w:r>
          </w:p>
          <w:p w14:paraId="0AC59A26" w14:textId="77777777" w:rsidR="00F05015" w:rsidRPr="00E630A9" w:rsidRDefault="00F05015" w:rsidP="00F05015">
            <w:pPr>
              <w:pStyle w:val="Listaconvietas"/>
              <w:spacing w:before="0" w:after="0" w:line="360" w:lineRule="auto"/>
              <w:ind w:left="720" w:hanging="360"/>
              <w:rPr>
                <w:lang w:val="es-ES"/>
              </w:rPr>
            </w:pPr>
            <w:r w:rsidRPr="00E630A9">
              <w:rPr>
                <w:lang w:val="es-ES"/>
              </w:rPr>
              <w:t>Impacto según tipo de sistema receptor</w:t>
            </w:r>
          </w:p>
          <w:p w14:paraId="59B7563B" w14:textId="77777777" w:rsidR="00F05015" w:rsidRPr="00E630A9" w:rsidRDefault="00F05015" w:rsidP="00F05015">
            <w:pPr>
              <w:pStyle w:val="Listaconvietas"/>
              <w:spacing w:before="0" w:after="0" w:line="360" w:lineRule="auto"/>
              <w:ind w:left="720" w:hanging="360"/>
              <w:rPr>
                <w:lang w:val="es-ES"/>
              </w:rPr>
            </w:pPr>
            <w:r w:rsidRPr="00E630A9">
              <w:rPr>
                <w:lang w:val="es-ES"/>
              </w:rPr>
              <w:t>El ataque aliado: eutrofización y cambio climático.</w:t>
            </w:r>
          </w:p>
          <w:p w14:paraId="6973F8A3" w14:textId="77777777" w:rsidR="00F05015" w:rsidRDefault="00F05015" w:rsidP="00F05015">
            <w:pPr>
              <w:pStyle w:val="Listaconvietas"/>
              <w:spacing w:before="0" w:after="0" w:line="360" w:lineRule="auto"/>
              <w:ind w:left="720" w:hanging="360"/>
              <w:rPr>
                <w:lang w:val="es-ES"/>
              </w:rPr>
            </w:pPr>
            <w:r w:rsidRPr="00E630A9">
              <w:rPr>
                <w:lang w:val="es-ES"/>
              </w:rPr>
              <w:t>Eutrofización y gestión ambiental</w:t>
            </w:r>
          </w:p>
          <w:p w14:paraId="6E2571E0" w14:textId="062F13AE" w:rsidR="004F03C8" w:rsidRPr="00CF449B" w:rsidRDefault="00F05015" w:rsidP="00F05015">
            <w:pPr>
              <w:pStyle w:val="Listaconvietas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720" w:hanging="360"/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F05015">
              <w:rPr>
                <w:lang w:val="es-ES"/>
              </w:rPr>
              <w:t>Presentación de estudios de caso.</w:t>
            </w:r>
          </w:p>
        </w:tc>
      </w:tr>
    </w:tbl>
    <w:p w14:paraId="52EACAF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3.4 Bibliografía:</w:t>
      </w:r>
    </w:p>
    <w:tbl>
      <w:tblPr>
        <w:tblStyle w:val="af3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7BF0D000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1AC1" w14:textId="77777777" w:rsidR="00AD136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proofErr w:type="spellStart"/>
            <w:r w:rsidRPr="00620B09">
              <w:rPr>
                <w:lang w:val="pt-BR"/>
              </w:rPr>
              <w:t>Baladán</w:t>
            </w:r>
            <w:proofErr w:type="spellEnd"/>
            <w:r w:rsidRPr="00620B09">
              <w:rPr>
                <w:lang w:val="pt-BR"/>
              </w:rPr>
              <w:t xml:space="preserve">, C., Teixeira de Mello, F., Goyenola, G., 2025. </w:t>
            </w:r>
            <w:r w:rsidRPr="00620B09">
              <w:rPr>
                <w:lang w:val="en-US"/>
              </w:rPr>
              <w:t xml:space="preserve">Experimental assessment of the joint effects of light attenuation, allelopathy, and nutrient masking on phytoplankton productivity in a subtropical dystrophic lagoon. Environ Sci </w:t>
            </w:r>
            <w:proofErr w:type="spellStart"/>
            <w:r w:rsidRPr="00620B09">
              <w:rPr>
                <w:lang w:val="en-US"/>
              </w:rPr>
              <w:t>Pollut</w:t>
            </w:r>
            <w:proofErr w:type="spellEnd"/>
            <w:r w:rsidRPr="00620B09">
              <w:rPr>
                <w:lang w:val="en-US"/>
              </w:rPr>
              <w:t xml:space="preserve"> Res.</w:t>
            </w:r>
            <w:r>
              <w:rPr>
                <w:lang w:val="en-US"/>
              </w:rPr>
              <w:t xml:space="preserve"> </w:t>
            </w:r>
            <w:hyperlink r:id="rId10" w:history="1">
              <w:r w:rsidRPr="00CF449B">
                <w:rPr>
                  <w:rStyle w:val="Hipervnculo"/>
                  <w:lang w:val="en-US"/>
                </w:rPr>
                <w:t>https://doi.org/10.1007/s11356-025-37033-8</w:t>
              </w:r>
            </w:hyperlink>
          </w:p>
          <w:p w14:paraId="7B093015" w14:textId="77777777" w:rsidR="00AD1369" w:rsidRPr="00620B0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r w:rsidRPr="00CF449B">
              <w:rPr>
                <w:lang w:val="en-US"/>
              </w:rPr>
              <w:t xml:space="preserve">Cardoso-Silva, S., Kim, B.S.M., Ferreira, </w:t>
            </w:r>
            <w:proofErr w:type="spellStart"/>
            <w:r w:rsidRPr="00CF449B">
              <w:rPr>
                <w:lang w:val="en-US"/>
              </w:rPr>
              <w:t>P.A.d.L</w:t>
            </w:r>
            <w:proofErr w:type="spellEnd"/>
            <w:r w:rsidRPr="00CF449B">
              <w:rPr>
                <w:lang w:val="en-US"/>
              </w:rPr>
              <w:t xml:space="preserve">., Benedetti, B., Goyenola, G., Iglesias, C., Lopes Figueira, R.C., López-Rodríguez, A., Moschini-Carlos, V., Teixeira de Mello, F., Meerhoff, M., </w:t>
            </w:r>
            <w:proofErr w:type="spellStart"/>
            <w:r w:rsidRPr="00CF449B">
              <w:rPr>
                <w:lang w:val="en-US"/>
              </w:rPr>
              <w:t>Pompêo</w:t>
            </w:r>
            <w:proofErr w:type="spellEnd"/>
            <w:r w:rsidRPr="00CF449B">
              <w:rPr>
                <w:lang w:val="en-US"/>
              </w:rPr>
              <w:t xml:space="preserve">, M., 2024. </w:t>
            </w:r>
            <w:r w:rsidRPr="00620B09">
              <w:rPr>
                <w:lang w:val="en-US"/>
              </w:rPr>
              <w:t xml:space="preserve">Reconstructing 90 years of anthropic activities in a subtropical reservoir: a paleolimnological perspective. Environ Sci </w:t>
            </w:r>
            <w:proofErr w:type="spellStart"/>
            <w:r w:rsidRPr="00620B09">
              <w:rPr>
                <w:lang w:val="en-US"/>
              </w:rPr>
              <w:t>Pollut</w:t>
            </w:r>
            <w:proofErr w:type="spellEnd"/>
            <w:r w:rsidRPr="00620B09">
              <w:rPr>
                <w:lang w:val="en-US"/>
              </w:rPr>
              <w:t xml:space="preserve"> Res.</w:t>
            </w:r>
            <w:r>
              <w:rPr>
                <w:lang w:val="en-US"/>
              </w:rPr>
              <w:t xml:space="preserve"> </w:t>
            </w:r>
            <w:hyperlink r:id="rId11" w:history="1">
              <w:r w:rsidRPr="00AD1369">
                <w:rPr>
                  <w:rStyle w:val="Hipervnculo"/>
                  <w:lang w:val="en-US"/>
                </w:rPr>
                <w:t>https://dx.doi.org/10.1007/s11356-024-34718-4</w:t>
              </w:r>
            </w:hyperlink>
            <w:r w:rsidRPr="00AD1369">
              <w:rPr>
                <w:lang w:val="en-US"/>
              </w:rPr>
              <w:t xml:space="preserve">  </w:t>
            </w:r>
          </w:p>
          <w:p w14:paraId="2A868AE5" w14:textId="77777777" w:rsidR="00AD1369" w:rsidRPr="00620B0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r w:rsidRPr="00620B09">
              <w:rPr>
                <w:lang w:val="en-US"/>
              </w:rPr>
              <w:t>Goyenola, G., Meerhoff, M., Teixeira-de Mello, F., González-Bergonzoni, I., Graeber, D.</w:t>
            </w:r>
            <w:proofErr w:type="gramStart"/>
            <w:r w:rsidRPr="00620B09">
              <w:rPr>
                <w:lang w:val="en-US"/>
              </w:rPr>
              <w:t xml:space="preserve">,  </w:t>
            </w:r>
            <w:proofErr w:type="spellStart"/>
            <w:r w:rsidRPr="00620B09">
              <w:rPr>
                <w:lang w:val="en-US"/>
              </w:rPr>
              <w:t>Fosalba</w:t>
            </w:r>
            <w:proofErr w:type="spellEnd"/>
            <w:proofErr w:type="gramEnd"/>
            <w:r w:rsidRPr="00620B09">
              <w:rPr>
                <w:lang w:val="en-US"/>
              </w:rPr>
              <w:t>, C., Vidal, N., Mazzeo, N., Ovesen, N.</w:t>
            </w:r>
            <w:proofErr w:type="gramStart"/>
            <w:r w:rsidRPr="00620B09">
              <w:rPr>
                <w:lang w:val="en-US"/>
              </w:rPr>
              <w:t>,  Jeppesen</w:t>
            </w:r>
            <w:proofErr w:type="gramEnd"/>
            <w:r w:rsidRPr="00620B09">
              <w:rPr>
                <w:lang w:val="en-US"/>
              </w:rPr>
              <w:t>, E. &amp; Kronvang, B. (2015) Monitoring strategies of stream phosphorus under contrasting climate-driven flow regimes. Hydrology and Earth System Sciences. 19, 4099–4111</w:t>
            </w:r>
            <w:r>
              <w:rPr>
                <w:lang w:val="en-US"/>
              </w:rPr>
              <w:t xml:space="preserve"> </w:t>
            </w:r>
            <w:hyperlink r:id="rId12" w:history="1">
              <w:r w:rsidRPr="00B85D75">
                <w:rPr>
                  <w:rStyle w:val="Hipervnculo"/>
                  <w:lang w:val="en-US"/>
                </w:rPr>
                <w:t>https://doi.org/10.5194/hess-19-4099-2015</w:t>
              </w:r>
            </w:hyperlink>
            <w:r>
              <w:rPr>
                <w:lang w:val="en-US"/>
              </w:rPr>
              <w:t xml:space="preserve"> </w:t>
            </w:r>
          </w:p>
          <w:p w14:paraId="068B3103" w14:textId="77777777" w:rsidR="00AD136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r w:rsidRPr="00620B09">
              <w:rPr>
                <w:lang w:val="en-US"/>
              </w:rPr>
              <w:t xml:space="preserve">Goyenola, G., Kruk, C., Mazzeo, N., Nario, A., Perdomo, C., Piccini, C., &amp; </w:t>
            </w:r>
            <w:proofErr w:type="spellStart"/>
            <w:r w:rsidRPr="00620B09">
              <w:rPr>
                <w:lang w:val="en-US"/>
              </w:rPr>
              <w:t>Meerhoff</w:t>
            </w:r>
            <w:proofErr w:type="spellEnd"/>
            <w:r w:rsidRPr="00620B09">
              <w:rPr>
                <w:lang w:val="en-US"/>
              </w:rPr>
              <w:t xml:space="preserve">, M. (2021). </w:t>
            </w:r>
            <w:r>
              <w:t xml:space="preserve">Producción, nutrientes, eutrofización y cianobacterias en Uruguay: armando el rompecabezas. </w:t>
            </w:r>
            <w:r w:rsidRPr="00620B09">
              <w:rPr>
                <w:lang w:val="en-US"/>
              </w:rPr>
              <w:t xml:space="preserve">INNOTEC, 22(e558), 1-33. </w:t>
            </w:r>
            <w:hyperlink r:id="rId13" w:history="1">
              <w:r w:rsidRPr="00B85D75">
                <w:rPr>
                  <w:rStyle w:val="Hipervnculo"/>
                  <w:lang w:val="en-US"/>
                </w:rPr>
                <w:t>https://doi.org/10.26461/22.02</w:t>
              </w:r>
            </w:hyperlink>
            <w:r>
              <w:rPr>
                <w:lang w:val="en-US"/>
              </w:rPr>
              <w:t xml:space="preserve"> </w:t>
            </w:r>
          </w:p>
          <w:p w14:paraId="24E3EDF3" w14:textId="77777777" w:rsidR="00AD1369" w:rsidRPr="00620B0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pt-BR"/>
              </w:rPr>
            </w:pPr>
            <w:proofErr w:type="gramStart"/>
            <w:r w:rsidRPr="00620B09">
              <w:rPr>
                <w:lang w:val="en-US"/>
              </w:rPr>
              <w:t>Goyenola ,</w:t>
            </w:r>
            <w:proofErr w:type="gramEnd"/>
            <w:r w:rsidRPr="00620B09">
              <w:rPr>
                <w:lang w:val="en-US"/>
              </w:rPr>
              <w:t xml:space="preserve"> G., 2023. Uruguay’s water crisis: prepare for future events. </w:t>
            </w:r>
            <w:proofErr w:type="spellStart"/>
            <w:r w:rsidRPr="00620B09">
              <w:rPr>
                <w:lang w:val="pt-BR"/>
              </w:rPr>
              <w:t>Nature</w:t>
            </w:r>
            <w:proofErr w:type="spellEnd"/>
            <w:r w:rsidRPr="00620B09">
              <w:rPr>
                <w:lang w:val="pt-BR"/>
              </w:rPr>
              <w:t xml:space="preserve"> 618, 675.</w:t>
            </w:r>
            <w:r>
              <w:rPr>
                <w:lang w:val="pt-BR"/>
              </w:rPr>
              <w:t xml:space="preserve"> </w:t>
            </w:r>
            <w:hyperlink r:id="rId14" w:history="1">
              <w:r w:rsidRPr="00B85D75">
                <w:rPr>
                  <w:rStyle w:val="Hipervnculo"/>
                  <w:lang w:val="pt-BR"/>
                </w:rPr>
                <w:t>https://doi.org/</w:t>
              </w:r>
              <w:r w:rsidRPr="00AD1369">
                <w:rPr>
                  <w:rStyle w:val="Hipervnculo"/>
                  <w:lang w:val="pt-BR"/>
                </w:rPr>
                <w:t>10.1038/d41586-023-01933-x</w:t>
              </w:r>
            </w:hyperlink>
            <w:r w:rsidRPr="00AD1369">
              <w:rPr>
                <w:lang w:val="pt-BR"/>
              </w:rPr>
              <w:t xml:space="preserve"> </w:t>
            </w:r>
          </w:p>
          <w:p w14:paraId="572C3D0C" w14:textId="77777777" w:rsidR="00AD1369" w:rsidRPr="00AD136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r w:rsidRPr="00620B09">
              <w:rPr>
                <w:lang w:val="pt-BR"/>
              </w:rPr>
              <w:t xml:space="preserve">Goyenola, G., Fleitas, V., </w:t>
            </w:r>
            <w:proofErr w:type="spellStart"/>
            <w:r w:rsidRPr="00620B09">
              <w:rPr>
                <w:lang w:val="pt-BR"/>
              </w:rPr>
              <w:t>Urtado</w:t>
            </w:r>
            <w:proofErr w:type="spellEnd"/>
            <w:r w:rsidRPr="00620B09">
              <w:rPr>
                <w:lang w:val="pt-BR"/>
              </w:rPr>
              <w:t xml:space="preserve">, L., </w:t>
            </w:r>
            <w:proofErr w:type="spellStart"/>
            <w:r w:rsidRPr="00620B09">
              <w:rPr>
                <w:lang w:val="pt-BR"/>
              </w:rPr>
              <w:t>Fosalba</w:t>
            </w:r>
            <w:proofErr w:type="spellEnd"/>
            <w:r w:rsidRPr="00620B09">
              <w:rPr>
                <w:lang w:val="pt-BR"/>
              </w:rPr>
              <w:t xml:space="preserve">, C., </w:t>
            </w:r>
            <w:proofErr w:type="spellStart"/>
            <w:r w:rsidRPr="00620B09">
              <w:rPr>
                <w:lang w:val="pt-BR"/>
              </w:rPr>
              <w:t>Hergatacorzián</w:t>
            </w:r>
            <w:proofErr w:type="spellEnd"/>
            <w:r w:rsidRPr="00620B09">
              <w:rPr>
                <w:lang w:val="pt-BR"/>
              </w:rPr>
              <w:t xml:space="preserve">, A., </w:t>
            </w:r>
            <w:proofErr w:type="spellStart"/>
            <w:r w:rsidRPr="00620B09">
              <w:rPr>
                <w:lang w:val="pt-BR"/>
              </w:rPr>
              <w:t>Raftópulos</w:t>
            </w:r>
            <w:proofErr w:type="spellEnd"/>
            <w:r w:rsidRPr="00620B09">
              <w:rPr>
                <w:lang w:val="pt-BR"/>
              </w:rPr>
              <w:t xml:space="preserve">, P., </w:t>
            </w:r>
            <w:proofErr w:type="spellStart"/>
            <w:r w:rsidRPr="00620B09">
              <w:rPr>
                <w:lang w:val="pt-BR"/>
              </w:rPr>
              <w:t>Acevedo</w:t>
            </w:r>
            <w:proofErr w:type="spellEnd"/>
            <w:r w:rsidRPr="00620B09">
              <w:rPr>
                <w:lang w:val="pt-BR"/>
              </w:rPr>
              <w:t xml:space="preserve">, S., Cabrera, S., 2025. </w:t>
            </w:r>
            <w:r w:rsidRPr="00620B09">
              <w:t>Sistemas Acuáticos Canarios: Estado del conocimiento y gestión ambiental. Plan Estratégico de Aguas. Dirección General de Gestión Ambiental; Intendencia de Canelones. Centro Universitario Regional del Este; Universidad de la República. Fundación para el Desarrollo de las Ciencias Básicas, Canelones, p. 87.</w:t>
            </w:r>
            <w:r>
              <w:t xml:space="preserve"> </w:t>
            </w:r>
            <w:hyperlink r:id="rId15" w:history="1">
              <w:r w:rsidRPr="00AD1369">
                <w:rPr>
                  <w:rStyle w:val="Hipervnculo"/>
                  <w:lang w:val="en-US"/>
                </w:rPr>
                <w:t>https://doi.org/10.13140/RG.2.2.34561.16488</w:t>
              </w:r>
            </w:hyperlink>
            <w:r w:rsidRPr="00AD1369">
              <w:rPr>
                <w:lang w:val="en-US"/>
              </w:rPr>
              <w:t xml:space="preserve"> </w:t>
            </w:r>
          </w:p>
          <w:p w14:paraId="572ED0EC" w14:textId="77777777" w:rsidR="00AD1369" w:rsidRPr="00620B0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proofErr w:type="spellStart"/>
            <w:r w:rsidRPr="00620B09">
              <w:rPr>
                <w:lang w:val="en-US"/>
              </w:rPr>
              <w:t>Haygarth</w:t>
            </w:r>
            <w:proofErr w:type="spellEnd"/>
            <w:r w:rsidRPr="00620B09">
              <w:rPr>
                <w:lang w:val="en-US"/>
              </w:rPr>
              <w:t xml:space="preserve">, P. M., Condron, L. M., </w:t>
            </w:r>
            <w:proofErr w:type="spellStart"/>
            <w:r w:rsidRPr="00620B09">
              <w:rPr>
                <w:lang w:val="en-US"/>
              </w:rPr>
              <w:t>Heathwaite</w:t>
            </w:r>
            <w:proofErr w:type="spellEnd"/>
            <w:r w:rsidRPr="00620B09">
              <w:rPr>
                <w:lang w:val="en-US"/>
              </w:rPr>
              <w:t xml:space="preserve">, A. L., Turner, B. L., &amp; Harris, G. P. (2005). The phosphorus transfer continuum: Linking source to impact with an interdisciplinary and multi-scaled approach. Science of the Total Environment, 344(1-3), 5-14. </w:t>
            </w:r>
            <w:hyperlink r:id="rId16" w:history="1">
              <w:r w:rsidRPr="00B85D75">
                <w:rPr>
                  <w:rStyle w:val="Hipervnculo"/>
                  <w:lang w:val="en-US"/>
                </w:rPr>
                <w:t>https://doi.org/10.1016/j.scitotenv.2005.02.001</w:t>
              </w:r>
            </w:hyperlink>
            <w:r>
              <w:rPr>
                <w:lang w:val="en-US"/>
              </w:rPr>
              <w:t xml:space="preserve"> </w:t>
            </w:r>
          </w:p>
          <w:p w14:paraId="3A11C63A" w14:textId="77777777" w:rsidR="00AD1369" w:rsidRPr="00620B0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r w:rsidRPr="00620B09">
              <w:rPr>
                <w:lang w:val="en-US"/>
              </w:rPr>
              <w:t xml:space="preserve">Jeppesen E., B. Kronvang, M. Meerhoff, M. Søndergaard, K.M. Hansen, H.E. Andersen, T.L. Lauridsen, M. </w:t>
            </w:r>
            <w:proofErr w:type="spellStart"/>
            <w:r w:rsidRPr="00620B09">
              <w:rPr>
                <w:lang w:val="en-US"/>
              </w:rPr>
              <w:t>Beklioglu</w:t>
            </w:r>
            <w:proofErr w:type="spellEnd"/>
            <w:r w:rsidRPr="00620B09">
              <w:rPr>
                <w:lang w:val="en-US"/>
              </w:rPr>
              <w:t>, A. Ozen &amp; J.E. Olesen. (2009) Climate change effects on runoff, phosphorus loading and lake ecological state, and potential adaptations. Journal of Environmental Quality 38 (5):1930-1941.</w:t>
            </w:r>
            <w:r>
              <w:rPr>
                <w:lang w:val="en-US"/>
              </w:rPr>
              <w:t xml:space="preserve"> </w:t>
            </w:r>
            <w:hyperlink r:id="rId17" w:history="1">
              <w:r w:rsidRPr="00B85D75">
                <w:rPr>
                  <w:rStyle w:val="Hipervnculo"/>
                  <w:lang w:val="en-US"/>
                </w:rPr>
                <w:t>https://doi.org/10.2134/jeq2008.0113</w:t>
              </w:r>
            </w:hyperlink>
            <w:r w:rsidRPr="00AD1369">
              <w:rPr>
                <w:lang w:val="en-US"/>
              </w:rPr>
              <w:t xml:space="preserve">   </w:t>
            </w:r>
          </w:p>
          <w:p w14:paraId="56EE6667" w14:textId="77777777" w:rsidR="00AD1369" w:rsidRPr="00620B0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r w:rsidRPr="00620B09">
              <w:rPr>
                <w:lang w:val="en-US"/>
              </w:rPr>
              <w:t xml:space="preserve">Jones, I. D., &amp; </w:t>
            </w:r>
            <w:proofErr w:type="spellStart"/>
            <w:r w:rsidRPr="00620B09">
              <w:rPr>
                <w:lang w:val="en-US"/>
              </w:rPr>
              <w:t>Smol</w:t>
            </w:r>
            <w:proofErr w:type="spellEnd"/>
            <w:r w:rsidRPr="00620B09">
              <w:rPr>
                <w:lang w:val="en-US"/>
              </w:rPr>
              <w:t>, J. P. (Eds.). (2023). WETZEL’S LIMNOLOGY. Lake and River Ecosystems (Fourth Ed.): Elsevier.</w:t>
            </w:r>
          </w:p>
          <w:p w14:paraId="12DB5443" w14:textId="77777777" w:rsidR="00AD1369" w:rsidRPr="00AD136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r w:rsidRPr="00620B09">
              <w:rPr>
                <w:lang w:val="en-US"/>
              </w:rPr>
              <w:t xml:space="preserve">Meerhoff, M., Audet, J., Davidson, T. A., De Meester, L., Hilt, S., Kosten, S., . . . Jeppesen, E. (2022). Feedback between climate change and eutrophication: revisiting the allied attack concept and how to strike back. </w:t>
            </w:r>
            <w:r w:rsidRPr="00AD1369">
              <w:rPr>
                <w:lang w:val="en-US"/>
              </w:rPr>
              <w:t xml:space="preserve">Inland Waters, 12(2), 187-204. </w:t>
            </w:r>
            <w:hyperlink r:id="rId18" w:history="1">
              <w:r w:rsidRPr="00AD1369">
                <w:rPr>
                  <w:rStyle w:val="Hipervnculo"/>
                  <w:lang w:val="en-US"/>
                </w:rPr>
                <w:t>https://dx.doi.org/10.1080/20442041.2022.2029317</w:t>
              </w:r>
            </w:hyperlink>
          </w:p>
          <w:p w14:paraId="033C55D3" w14:textId="77777777" w:rsidR="00AD136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r w:rsidRPr="00AD1369">
              <w:rPr>
                <w:lang w:val="en-US"/>
              </w:rPr>
              <w:t xml:space="preserve">Pinotti, G., Gaucher, L., Fleitas, V., Boccardi, L., Goyenola, G., 2025. </w:t>
            </w:r>
            <w:r w:rsidRPr="00620B09">
              <w:rPr>
                <w:lang w:val="en-US"/>
              </w:rPr>
              <w:t>Aluminum compounds as a management tool for Eutrophic Lakes: State of the art. Ecological Engineering 212, 107503.</w:t>
            </w:r>
            <w:r>
              <w:rPr>
                <w:lang w:val="en-US"/>
              </w:rPr>
              <w:t xml:space="preserve"> </w:t>
            </w:r>
            <w:hyperlink r:id="rId19" w:history="1">
              <w:r w:rsidRPr="00B85D75">
                <w:rPr>
                  <w:rStyle w:val="Hipervnculo"/>
                  <w:lang w:val="en-US"/>
                </w:rPr>
                <w:t>https://doi.org/10.1016/j.ecoleng.2024.107503</w:t>
              </w:r>
            </w:hyperlink>
            <w:r>
              <w:rPr>
                <w:lang w:val="en-US"/>
              </w:rPr>
              <w:t xml:space="preserve"> </w:t>
            </w:r>
          </w:p>
          <w:p w14:paraId="3CB53E11" w14:textId="77777777" w:rsidR="00AD136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lang w:val="en-US"/>
              </w:rPr>
            </w:pPr>
            <w:proofErr w:type="spellStart"/>
            <w:r w:rsidRPr="00620B09">
              <w:rPr>
                <w:lang w:val="en-US"/>
              </w:rPr>
              <w:t>Torremorell</w:t>
            </w:r>
            <w:proofErr w:type="spellEnd"/>
            <w:r w:rsidRPr="00620B09">
              <w:rPr>
                <w:lang w:val="en-US"/>
              </w:rPr>
              <w:t xml:space="preserve">, A., </w:t>
            </w:r>
            <w:proofErr w:type="spellStart"/>
            <w:r w:rsidRPr="00620B09">
              <w:rPr>
                <w:lang w:val="en-US"/>
              </w:rPr>
              <w:t>Hegoburu</w:t>
            </w:r>
            <w:proofErr w:type="spellEnd"/>
            <w:r w:rsidRPr="00620B09">
              <w:rPr>
                <w:lang w:val="en-US"/>
              </w:rPr>
              <w:t xml:space="preserve">, C., Brandimarte, A.L., Rodrigues, E.H.C., </w:t>
            </w:r>
            <w:proofErr w:type="spellStart"/>
            <w:r w:rsidRPr="00620B09">
              <w:rPr>
                <w:lang w:val="en-US"/>
              </w:rPr>
              <w:t>Pompêo</w:t>
            </w:r>
            <w:proofErr w:type="spellEnd"/>
            <w:r w:rsidRPr="00620B09">
              <w:rPr>
                <w:lang w:val="en-US"/>
              </w:rPr>
              <w:t xml:space="preserve">, M., da Silva, S.C., Moschini-Carlos, V., Caputo, L., Fierro, P., Mojica, J.I., Matta, Á.L.P., Donato, J.C., Jiménez-Pardo, P., Molinero, J., Ríos-Touma, B., Goyenola, G., Iglesias, C., López-Rodríguez, A., </w:t>
            </w:r>
            <w:proofErr w:type="spellStart"/>
            <w:r w:rsidRPr="00620B09">
              <w:rPr>
                <w:lang w:val="en-US"/>
              </w:rPr>
              <w:t>Meerhoff</w:t>
            </w:r>
            <w:proofErr w:type="spellEnd"/>
            <w:r w:rsidRPr="00620B09">
              <w:rPr>
                <w:lang w:val="en-US"/>
              </w:rPr>
              <w:t>, M., Pacheco, J.P., de Mello, F.T., Rodríguez-Olarte, D., Gómez, M.B., Montoya, J.V., López-Doval, J.C., Navarro, E., 2021. Current and future threats for ecological quality management of South American freshwater ecosystems. Inland Waters, 1–16.</w:t>
            </w:r>
            <w:r>
              <w:rPr>
                <w:lang w:val="en-US"/>
              </w:rPr>
              <w:t xml:space="preserve"> </w:t>
            </w:r>
            <w:hyperlink r:id="rId20" w:history="1">
              <w:r w:rsidRPr="00B85D75">
                <w:rPr>
                  <w:rStyle w:val="Hipervnculo"/>
                  <w:lang w:val="en-US"/>
                </w:rPr>
                <w:t>https://doi.org/10.1080/20442041.2019.1608115</w:t>
              </w:r>
            </w:hyperlink>
            <w:r>
              <w:rPr>
                <w:lang w:val="en-US"/>
              </w:rPr>
              <w:t xml:space="preserve"> </w:t>
            </w:r>
          </w:p>
          <w:p w14:paraId="101AF7C9" w14:textId="77777777" w:rsidR="00AD1369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</w:pPr>
          </w:p>
          <w:p w14:paraId="26007E0F" w14:textId="75A089D2" w:rsidR="004F03C8" w:rsidRDefault="00AD1369" w:rsidP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t>y otros</w:t>
            </w:r>
          </w:p>
        </w:tc>
      </w:tr>
    </w:tbl>
    <w:p w14:paraId="606885E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3.5 Conocimientos previos requeridos:</w:t>
      </w:r>
    </w:p>
    <w:tbl>
      <w:tblPr>
        <w:tblStyle w:val="af4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62BC5401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949E" w14:textId="23993173" w:rsidR="004F03C8" w:rsidRDefault="00AD1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Formación de grado en área científica/tecnológica, ciencias de la naturaleza o formación equivalente.</w:t>
            </w:r>
            <w:r w:rsidR="007055B4">
              <w:rPr>
                <w:rFonts w:ascii="Arial" w:eastAsia="Arial" w:hAnsi="Arial" w:cs="Arial"/>
              </w:rPr>
              <w:t xml:space="preserve"> Estudiantes de otros perfiles con intención de construir </w:t>
            </w:r>
            <w:r w:rsidR="00315A22">
              <w:rPr>
                <w:rFonts w:ascii="Arial" w:eastAsia="Arial" w:hAnsi="Arial" w:cs="Arial"/>
              </w:rPr>
              <w:t>interdisciplina.</w:t>
            </w:r>
          </w:p>
        </w:tc>
      </w:tr>
    </w:tbl>
    <w:p w14:paraId="6DEF85B3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18E90DF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4) INFORME FINAL</w:t>
      </w:r>
      <w:r>
        <w:rPr>
          <w:rFonts w:ascii="Arial" w:eastAsia="Arial" w:hAnsi="Arial" w:cs="Arial"/>
          <w:color w:val="000000"/>
        </w:rPr>
        <w:t xml:space="preserve"> Al finalizar el curso, el docente responsable deberá presentar una breve evaluación de la actividad, indicando:</w:t>
      </w:r>
    </w:p>
    <w:p w14:paraId="3FCA03A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  <w:t>Porcentaje de asistencia (% de inscriptos que alcanzaron el mínimo requerido de asistencias para aprobar el curso).</w:t>
      </w:r>
    </w:p>
    <w:p w14:paraId="43FB746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  <w:t>Participación de docentes del exterior (si corresponde).</w:t>
      </w:r>
    </w:p>
    <w:p w14:paraId="20ADD05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</w:rPr>
        <w:tab/>
        <w:t>Opinión general:</w:t>
      </w:r>
    </w:p>
    <w:p w14:paraId="471D63A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¿Cómo valora el desarrollo de la interacción docente-estudiante durante el curso?</w:t>
      </w:r>
    </w:p>
    <w:p w14:paraId="4D85E326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¿Cómo valora el seguimiento de las actividades del curso por parte de los estudiantes?</w:t>
      </w:r>
    </w:p>
    <w:p w14:paraId="246819F3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¿El curso se dictó y cursó con normalidad </w:t>
      </w:r>
      <w:proofErr w:type="gramStart"/>
      <w:r>
        <w:rPr>
          <w:rFonts w:ascii="Arial" w:eastAsia="Arial" w:hAnsi="Arial" w:cs="Arial"/>
          <w:color w:val="000000"/>
        </w:rPr>
        <w:t>de acuerdo a</w:t>
      </w:r>
      <w:proofErr w:type="gramEnd"/>
      <w:r>
        <w:rPr>
          <w:rFonts w:ascii="Arial" w:eastAsia="Arial" w:hAnsi="Arial" w:cs="Arial"/>
          <w:color w:val="000000"/>
        </w:rPr>
        <w:t xml:space="preserve"> lo esperado?</w:t>
      </w:r>
    </w:p>
    <w:p w14:paraId="48B83D65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¿Surgieron imprevistos?</w:t>
      </w:r>
    </w:p>
    <w:p w14:paraId="5F18156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¿Fue necesario introducir cambios en el curso durante su realización, </w:t>
      </w:r>
      <w:proofErr w:type="gramStart"/>
      <w:r>
        <w:rPr>
          <w:rFonts w:ascii="Arial" w:eastAsia="Arial" w:hAnsi="Arial" w:cs="Arial"/>
          <w:color w:val="000000"/>
        </w:rPr>
        <w:t>en relación a</w:t>
      </w:r>
      <w:proofErr w:type="gramEnd"/>
      <w:r>
        <w:rPr>
          <w:rFonts w:ascii="Arial" w:eastAsia="Arial" w:hAnsi="Arial" w:cs="Arial"/>
          <w:color w:val="000000"/>
        </w:rPr>
        <w:t xml:space="preserve"> la propuesta original? Si fue el caso, por favor especificar.</w:t>
      </w:r>
    </w:p>
    <w:p w14:paraId="39FA9FE2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Nota: Máximo una carilla.</w:t>
      </w:r>
    </w:p>
    <w:p w14:paraId="5ED47E29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18F8DBA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5) SOLICITUD DE FINANCIAMIENTO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(ítem exclusivo para aquellos cursos que soliciten financiamiento). Indicar si el curso solicita fondos al Área Geociencias. </w:t>
      </w:r>
      <w:proofErr w:type="gramStart"/>
      <w:r>
        <w:rPr>
          <w:rFonts w:ascii="Arial" w:eastAsia="Arial" w:hAnsi="Arial" w:cs="Arial"/>
          <w:color w:val="000000"/>
        </w:rPr>
        <w:t>En caso que</w:t>
      </w:r>
      <w:proofErr w:type="gramEnd"/>
      <w:r>
        <w:rPr>
          <w:rFonts w:ascii="Arial" w:eastAsia="Arial" w:hAnsi="Arial" w:cs="Arial"/>
          <w:color w:val="000000"/>
        </w:rPr>
        <w:t xml:space="preserve"> así sea, por favor adjuntar el formulario de </w:t>
      </w:r>
      <w:r>
        <w:rPr>
          <w:rFonts w:ascii="Arial" w:eastAsia="Arial" w:hAnsi="Arial" w:cs="Arial"/>
          <w:i/>
          <w:color w:val="000000"/>
          <w:u w:val="single"/>
        </w:rPr>
        <w:t>Solicitud de Financiamiento</w:t>
      </w:r>
      <w:r>
        <w:rPr>
          <w:rFonts w:ascii="Arial" w:eastAsia="Arial" w:hAnsi="Arial" w:cs="Arial"/>
          <w:color w:val="000000"/>
        </w:rPr>
        <w:t>.</w:t>
      </w:r>
    </w:p>
    <w:p w14:paraId="1E0FCA66" w14:textId="378C4D29" w:rsidR="004F03C8" w:rsidRDefault="007055B4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5ED46306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ANEXO</w:t>
      </w:r>
    </w:p>
    <w:p w14:paraId="14E7D152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CRITERIO PARA EL CÁLCULO DE CRÉDITOS</w:t>
      </w:r>
    </w:p>
    <w:p w14:paraId="1C55FF19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La Comisión de Posgrado asignará los créditos a cada curso hasta un máximo de 15, atendiendo al carácter obligatorio o no del mismo, a la amplitud de su contenido y a su extensión horaria.</w:t>
      </w:r>
    </w:p>
    <w:p w14:paraId="2A28206D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El estudio de esta propuesta será realizado por la Comisión de Posgrado del área.</w:t>
      </w:r>
    </w:p>
    <w:p w14:paraId="6070ADD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Cursos semestrales y no intensivos</w:t>
      </w:r>
      <w:r>
        <w:rPr>
          <w:rFonts w:ascii="Arial" w:eastAsia="Arial" w:hAnsi="Arial" w:cs="Arial"/>
          <w:color w:val="000000"/>
        </w:rPr>
        <w:t xml:space="preserve"> (mayor a 2 semanas de duración)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color w:val="000000"/>
        </w:rPr>
        <w:t>Los créditos correspondientes al curso se calculan multiplicando la carga horaria total del curso (componente sincr</w:t>
      </w:r>
      <w:r>
        <w:rPr>
          <w:rFonts w:ascii="Arial" w:eastAsia="Arial" w:hAnsi="Arial" w:cs="Arial"/>
        </w:rPr>
        <w:t xml:space="preserve">ónica) </w:t>
      </w:r>
      <w:r>
        <w:rPr>
          <w:rFonts w:ascii="Arial" w:eastAsia="Arial" w:hAnsi="Arial" w:cs="Arial"/>
          <w:color w:val="000000"/>
        </w:rPr>
        <w:t>por 1,8 y dividiéndolas entre 15. La carga horaria total del curso incluye clases teóricas y prácticas (dentro de las clases prácticas se deben incluir las salidas de campo).</w:t>
      </w:r>
    </w:p>
    <w:p w14:paraId="5DCB074C" w14:textId="77777777" w:rsidR="004F03C8" w:rsidRDefault="00EA5600">
      <w:pPr>
        <w:numPr>
          <w:ilvl w:val="0"/>
          <w:numId w:val="1"/>
        </w:numPr>
        <w:ind w:hanging="809"/>
        <w:jc w:val="both"/>
      </w:pPr>
      <w:r>
        <w:rPr>
          <w:rFonts w:ascii="Arial" w:eastAsia="Arial" w:hAnsi="Arial" w:cs="Arial"/>
          <w:b/>
        </w:rPr>
        <w:t>Cursos cortos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Creditización</w:t>
      </w:r>
      <w:proofErr w:type="spellEnd"/>
      <w:r>
        <w:rPr>
          <w:rFonts w:ascii="Arial" w:eastAsia="Arial" w:hAnsi="Arial" w:cs="Arial"/>
        </w:rPr>
        <w:t xml:space="preserve"> para cursos cortos donde la componente sincrónica se desarrolle en 2 semanas o menos.</w:t>
      </w:r>
    </w:p>
    <w:p w14:paraId="50E3CCCB" w14:textId="77777777" w:rsidR="004F03C8" w:rsidRDefault="004F03C8">
      <w:pPr>
        <w:jc w:val="both"/>
        <w:rPr>
          <w:rFonts w:ascii="Arial" w:eastAsia="Arial" w:hAnsi="Arial" w:cs="Arial"/>
        </w:rPr>
      </w:pPr>
    </w:p>
    <w:p w14:paraId="4E346DF3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En caso de cursos cortos con componente sincrónica diaria menor o igual a 6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y evaluación el último día, NO deben ponerse en el formulario horas de trabajo domiciliario. Los créditos se calcularán como (horas </w:t>
      </w:r>
      <w:proofErr w:type="gramStart"/>
      <w:r>
        <w:rPr>
          <w:rFonts w:ascii="Arial" w:eastAsia="Arial" w:hAnsi="Arial" w:cs="Arial"/>
        </w:rPr>
        <w:t>sincrónicas)*</w:t>
      </w:r>
      <w:proofErr w:type="gramEnd"/>
      <w:r>
        <w:rPr>
          <w:rFonts w:ascii="Arial" w:eastAsia="Arial" w:hAnsi="Arial" w:cs="Arial"/>
        </w:rPr>
        <w:t>1.8/15.</w:t>
      </w:r>
    </w:p>
    <w:p w14:paraId="4C6AD3D3" w14:textId="77777777" w:rsidR="004F03C8" w:rsidRDefault="004F03C8">
      <w:pPr>
        <w:jc w:val="both"/>
        <w:rPr>
          <w:rFonts w:ascii="Arial" w:eastAsia="Arial" w:hAnsi="Arial" w:cs="Arial"/>
        </w:rPr>
      </w:pPr>
    </w:p>
    <w:p w14:paraId="394D299B" w14:textId="77777777" w:rsidR="004F03C8" w:rsidRDefault="00EA5600">
      <w:pPr>
        <w:jc w:val="both"/>
        <w:rPr>
          <w:rFonts w:ascii="Arial" w:eastAsia="Arial" w:hAnsi="Arial" w:cs="Arial"/>
        </w:rPr>
      </w:pPr>
      <w:bookmarkStart w:id="0" w:name="_heading=h.lrdgegix78zc" w:colFirst="0" w:colLast="0"/>
      <w:bookmarkEnd w:id="0"/>
      <w:r>
        <w:rPr>
          <w:rFonts w:ascii="Arial" w:eastAsia="Arial" w:hAnsi="Arial" w:cs="Arial"/>
        </w:rPr>
        <w:t xml:space="preserve">2) En caso de cursos cortos con componente sincrónica diaria mayor a 6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y evaluación el último día, se deberán explicitar en formulario tanto las horas sincrónicas como las horas de trabajo domiciliario, cuya suma no podrá superar las 12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diarias. En este caso los créditos se calcularán </w:t>
      </w:r>
      <w:proofErr w:type="gramStart"/>
      <w:r>
        <w:rPr>
          <w:rFonts w:ascii="Arial" w:eastAsia="Arial" w:hAnsi="Arial" w:cs="Arial"/>
        </w:rPr>
        <w:t>como  (</w:t>
      </w:r>
      <w:proofErr w:type="spellStart"/>
      <w:proofErr w:type="gramEnd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sincrónicas +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domicilio)/</w:t>
      </w:r>
      <w:proofErr w:type="gramEnd"/>
      <w:r>
        <w:rPr>
          <w:rFonts w:ascii="Arial" w:eastAsia="Arial" w:hAnsi="Arial" w:cs="Arial"/>
        </w:rPr>
        <w:t>15.</w:t>
      </w:r>
    </w:p>
    <w:p w14:paraId="604204FC" w14:textId="77777777" w:rsidR="004F03C8" w:rsidRDefault="004F03C8">
      <w:pPr>
        <w:jc w:val="both"/>
        <w:rPr>
          <w:rFonts w:ascii="Arial" w:eastAsia="Arial" w:hAnsi="Arial" w:cs="Arial"/>
        </w:rPr>
      </w:pPr>
    </w:p>
    <w:p w14:paraId="5FC6240B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cursos de componente sincrónica desarrollada sólo durante 1 semana:</w:t>
      </w:r>
    </w:p>
    <w:p w14:paraId="4F61946F" w14:textId="77777777" w:rsidR="004F03C8" w:rsidRDefault="004F03C8">
      <w:pPr>
        <w:jc w:val="both"/>
        <w:rPr>
          <w:rFonts w:ascii="Arial" w:eastAsia="Arial" w:hAnsi="Arial" w:cs="Arial"/>
        </w:rPr>
      </w:pPr>
    </w:p>
    <w:p w14:paraId="6D884961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3) Si hay lecturas previas al comienzo de las clases sincrónicas (de al menos 1 semana previa) o evaluación posterior a la finalización de las clases sincrónicas (al menos 1 semana después), NO deben ponerse en el formulario las horas de trabajo domiciliario. Los créditos se calcularán como (horas </w:t>
      </w:r>
      <w:proofErr w:type="gramStart"/>
      <w:r>
        <w:rPr>
          <w:rFonts w:ascii="Arial" w:eastAsia="Arial" w:hAnsi="Arial" w:cs="Arial"/>
        </w:rPr>
        <w:t>sincrónicas)*</w:t>
      </w:r>
      <w:proofErr w:type="gramEnd"/>
      <w:r>
        <w:rPr>
          <w:rFonts w:ascii="Arial" w:eastAsia="Arial" w:hAnsi="Arial" w:cs="Arial"/>
        </w:rPr>
        <w:t>1.8/15.</w:t>
      </w:r>
    </w:p>
    <w:p w14:paraId="2073ED06" w14:textId="77777777" w:rsidR="004F03C8" w:rsidRDefault="004F03C8">
      <w:pPr>
        <w:jc w:val="both"/>
        <w:rPr>
          <w:rFonts w:ascii="Arial" w:eastAsia="Arial" w:hAnsi="Arial" w:cs="Arial"/>
        </w:rPr>
      </w:pPr>
    </w:p>
    <w:p w14:paraId="1A58D07B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(*) En todos los casos de cursos intensivos es importante colocar la fecha de inicio/finalización del curso contemplando estas lecturas previas o evaluación posterior.</w:t>
      </w:r>
    </w:p>
    <w:p w14:paraId="5C42B53B" w14:textId="77777777" w:rsidR="004F03C8" w:rsidRDefault="004F03C8">
      <w:pPr>
        <w:jc w:val="both"/>
        <w:rPr>
          <w:rFonts w:ascii="Arial" w:eastAsia="Arial" w:hAnsi="Arial" w:cs="Arial"/>
        </w:rPr>
      </w:pPr>
    </w:p>
    <w:p w14:paraId="062F7B45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recomienda la evaluación posterior para mejorar incorporación de conocimientos por parte de los estudiantes.</w:t>
      </w:r>
    </w:p>
    <w:p w14:paraId="09AE96B8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Observaciones:</w:t>
      </w:r>
    </w:p>
    <w:p w14:paraId="09D8BF4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Máximo de horas teóricas por día cursos no intensivos: 8hs.</w:t>
      </w:r>
    </w:p>
    <w:p w14:paraId="5B2FB82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Máximo de horas teóricas por día cursos intensivos: 10hs.</w:t>
      </w:r>
    </w:p>
    <w:p w14:paraId="50B78495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Cada día de salida de campo corresponden a 8hs de trabajo práctico</w:t>
      </w:r>
    </w:p>
    <w:sectPr w:rsidR="004F03C8">
      <w:headerReference w:type="even" r:id="rId21"/>
      <w:headerReference w:type="default" r:id="rId22"/>
      <w:headerReference w:type="first" r:id="rId23"/>
      <w:pgSz w:w="11906" w:h="16838"/>
      <w:pgMar w:top="1417" w:right="1701" w:bottom="720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F6091" w14:textId="77777777" w:rsidR="00D871DA" w:rsidRDefault="00D871DA">
      <w:r>
        <w:separator/>
      </w:r>
    </w:p>
  </w:endnote>
  <w:endnote w:type="continuationSeparator" w:id="0">
    <w:p w14:paraId="7A4232D1" w14:textId="77777777" w:rsidR="00D871DA" w:rsidRDefault="00D87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DC8E2F95-88F2-4960-8135-662B470171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C2B3A1-7115-4D3E-BAAB-AB9B4D30A121}"/>
    <w:embedBold r:id="rId3" w:fontKey="{22D43583-D273-41FD-A820-51E810281FDF}"/>
    <w:embedItalic r:id="rId4" w:fontKey="{96539CB8-B7F4-455F-83FA-242FFED07DE1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5" w:fontKey="{9C75DC41-9993-47A6-8957-F01E74F999A5}"/>
    <w:embedBold r:id="rId6" w:fontKey="{63F2E4DC-FAB0-474C-83A1-DBDF1C83F3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CC85108-CC0C-4A7F-B5AF-EFA3A61D11F9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8" w:fontKey="{89C4BE55-5C5C-41ED-831A-80AF98711FD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494B3632-E63A-461A-9991-1181C85C10EA}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6F61136D-1886-45CC-9775-BA401F72E689}"/>
    <w:embedItalic r:id="rId11" w:fontKey="{66F51E86-DA4C-4269-94A2-C81D6C609E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8040580-42D3-488B-84D9-D7EF7537EC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B1061" w14:textId="77777777" w:rsidR="00D871DA" w:rsidRDefault="00D871DA">
      <w:r>
        <w:separator/>
      </w:r>
    </w:p>
  </w:footnote>
  <w:footnote w:type="continuationSeparator" w:id="0">
    <w:p w14:paraId="59DDC91F" w14:textId="77777777" w:rsidR="00D871DA" w:rsidRDefault="00D87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0430A" w14:textId="77777777"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D7B04" w14:textId="77777777" w:rsidR="004F03C8" w:rsidRDefault="004F03C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cs="Calibri"/>
        <w:color w:val="000000"/>
      </w:rPr>
    </w:pPr>
  </w:p>
  <w:tbl>
    <w:tblPr>
      <w:tblStyle w:val="af5"/>
      <w:tblW w:w="8504" w:type="dxa"/>
      <w:tblInd w:w="-113" w:type="dxa"/>
      <w:tblLayout w:type="fixed"/>
      <w:tblLook w:val="0400" w:firstRow="0" w:lastRow="0" w:firstColumn="0" w:lastColumn="0" w:noHBand="0" w:noVBand="1"/>
    </w:tblPr>
    <w:tblGrid>
      <w:gridCol w:w="1985"/>
      <w:gridCol w:w="6519"/>
    </w:tblGrid>
    <w:tr w:rsidR="004F03C8" w14:paraId="0ABB94C5" w14:textId="77777777">
      <w:tc>
        <w:tcPr>
          <w:tcW w:w="1985" w:type="dxa"/>
        </w:tcPr>
        <w:p w14:paraId="0CA5528D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439059D5" wp14:editId="13D31C05">
                <wp:extent cx="1101725" cy="1454150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1454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9" w:type="dxa"/>
          <w:vAlign w:val="center"/>
        </w:tcPr>
        <w:p w14:paraId="3D5C95B5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  <w:r>
            <w:rPr>
              <w:rFonts w:ascii="Arial" w:eastAsia="Arial" w:hAnsi="Arial" w:cs="Arial"/>
              <w:smallCaps/>
              <w:color w:val="0000FF"/>
            </w:rPr>
            <w:t>PROGRAMA DE DESARROLLO DE LAS CIENCIAS BASICAS</w:t>
          </w:r>
        </w:p>
        <w:p w14:paraId="23E81A38" w14:textId="77777777" w:rsidR="004F03C8" w:rsidRDefault="004F03C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</w:p>
        <w:p w14:paraId="1A42AB8A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color w:val="0000FF"/>
            </w:rPr>
            <w:t>Ministerio de Educación y Cultura - Universidad de la República</w:t>
          </w:r>
        </w:p>
      </w:tc>
    </w:tr>
  </w:tbl>
  <w:p w14:paraId="5946EF8E" w14:textId="77777777"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4E531" w14:textId="77777777" w:rsidR="004F03C8" w:rsidRDefault="004F03C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cs="Calibri"/>
        <w:color w:val="000000"/>
      </w:rPr>
    </w:pPr>
  </w:p>
  <w:tbl>
    <w:tblPr>
      <w:tblStyle w:val="af6"/>
      <w:tblW w:w="8504" w:type="dxa"/>
      <w:tblInd w:w="-113" w:type="dxa"/>
      <w:tblLayout w:type="fixed"/>
      <w:tblLook w:val="0400" w:firstRow="0" w:lastRow="0" w:firstColumn="0" w:lastColumn="0" w:noHBand="0" w:noVBand="1"/>
    </w:tblPr>
    <w:tblGrid>
      <w:gridCol w:w="1985"/>
      <w:gridCol w:w="6519"/>
    </w:tblGrid>
    <w:tr w:rsidR="004F03C8" w14:paraId="1653BE27" w14:textId="77777777">
      <w:tc>
        <w:tcPr>
          <w:tcW w:w="1985" w:type="dxa"/>
        </w:tcPr>
        <w:p w14:paraId="4CA96051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24E6A4EA" wp14:editId="3F516838">
                <wp:extent cx="1101725" cy="1454150"/>
                <wp:effectExtent l="0" t="0" r="0" b="0"/>
                <wp:docPr id="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1454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9" w:type="dxa"/>
          <w:vAlign w:val="center"/>
        </w:tcPr>
        <w:p w14:paraId="18E0E343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  <w:r>
            <w:rPr>
              <w:rFonts w:ascii="Arial" w:eastAsia="Arial" w:hAnsi="Arial" w:cs="Arial"/>
              <w:smallCaps/>
              <w:color w:val="0000FF"/>
            </w:rPr>
            <w:t>PROGRAMA DE DESARROLLO DE LAS CIENCIAS BASICAS</w:t>
          </w:r>
        </w:p>
        <w:p w14:paraId="067B4108" w14:textId="77777777" w:rsidR="004F03C8" w:rsidRDefault="004F03C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</w:p>
        <w:p w14:paraId="417A9285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color w:val="0000FF"/>
            </w:rPr>
            <w:t>Ministerio de Educación y Cultura - Universidad de la República</w:t>
          </w:r>
        </w:p>
      </w:tc>
    </w:tr>
  </w:tbl>
  <w:p w14:paraId="25B29CBC" w14:textId="77777777"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01308"/>
    <w:multiLevelType w:val="hybridMultilevel"/>
    <w:tmpl w:val="FDAA04AE"/>
    <w:lvl w:ilvl="0" w:tplc="672CA484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814B0"/>
    <w:multiLevelType w:val="multilevel"/>
    <w:tmpl w:val="B8BC8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 w16cid:durableId="134299255">
    <w:abstractNumId w:val="1"/>
  </w:num>
  <w:num w:numId="2" w16cid:durableId="643967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3C8"/>
    <w:rsid w:val="00033EBE"/>
    <w:rsid w:val="00065F6A"/>
    <w:rsid w:val="001F16C1"/>
    <w:rsid w:val="00315A22"/>
    <w:rsid w:val="003330C1"/>
    <w:rsid w:val="0036432C"/>
    <w:rsid w:val="003B3DB3"/>
    <w:rsid w:val="004F03C8"/>
    <w:rsid w:val="005D3F4E"/>
    <w:rsid w:val="007055B4"/>
    <w:rsid w:val="00845911"/>
    <w:rsid w:val="00905FBF"/>
    <w:rsid w:val="00AD1369"/>
    <w:rsid w:val="00C57E75"/>
    <w:rsid w:val="00C67431"/>
    <w:rsid w:val="00CF449B"/>
    <w:rsid w:val="00D871DA"/>
    <w:rsid w:val="00EA5600"/>
    <w:rsid w:val="00F05015"/>
    <w:rsid w:val="00FE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4D6F47"/>
  <w15:docId w15:val="{B1FBBF8F-FA24-4279-9C7D-71684B07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Y" w:eastAsia="es-U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369"/>
    <w:pPr>
      <w:suppressAutoHyphens/>
      <w:textAlignment w:val="baseline"/>
    </w:pPr>
    <w:rPr>
      <w:rFonts w:cs="DejaVu Sans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customStyle="1" w:styleId="TextocomentarioCar">
    <w:name w:val="Texto comentario Car"/>
    <w:basedOn w:val="Fuentedeprrafopredeter"/>
    <w:qFormat/>
    <w:rPr>
      <w:sz w:val="20"/>
      <w:szCs w:val="20"/>
    </w:rPr>
  </w:style>
  <w:style w:type="character" w:customStyle="1" w:styleId="AsuntodelcomentarioCar">
    <w:name w:val="Asunto del comentario Car"/>
    <w:basedOn w:val="TextocomentarioCar"/>
    <w:qFormat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qFormat/>
    <w:rPr>
      <w:rFonts w:ascii="Segoe UI" w:eastAsia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Standard"/>
    <w:next w:val="Textbody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Lohit Devanagari"/>
      <w:sz w:val="24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  <w:sz w:val="24"/>
    </w:rPr>
  </w:style>
  <w:style w:type="paragraph" w:customStyle="1" w:styleId="Standard">
    <w:name w:val="Standard"/>
    <w:qFormat/>
    <w:pPr>
      <w:widowControl/>
      <w:suppressAutoHyphens/>
      <w:spacing w:after="160" w:line="249" w:lineRule="auto"/>
      <w:textAlignment w:val="baseline"/>
    </w:pPr>
    <w:rPr>
      <w:rFonts w:cs="DejaVu Sans"/>
      <w:lang w:eastAsia="en-US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HeaderandFooter">
    <w:name w:val="Header and Footer"/>
    <w:basedOn w:val="Standard"/>
    <w:qFormat/>
  </w:style>
  <w:style w:type="paragraph" w:styleId="Encabezado">
    <w:name w:val="header"/>
    <w:basedOn w:val="HeaderandFooter"/>
    <w:pPr>
      <w:suppressLineNumbers/>
      <w:tabs>
        <w:tab w:val="center" w:pos="4986"/>
        <w:tab w:val="right" w:pos="9972"/>
      </w:tabs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Standard1">
    <w:name w:val="Standard1"/>
    <w:qFormat/>
    <w:pPr>
      <w:suppressAutoHyphens/>
      <w:textAlignment w:val="baseline"/>
    </w:pPr>
    <w:rPr>
      <w:rFonts w:ascii="Arial" w:eastAsia="Arial" w:hAnsi="Arial" w:cs="Arial"/>
      <w:sz w:val="24"/>
      <w:szCs w:val="24"/>
      <w:lang w:val="es-ES" w:eastAsia="zh-CN" w:bidi="hi-IN"/>
    </w:rPr>
  </w:style>
  <w:style w:type="paragraph" w:styleId="Prrafodelista">
    <w:name w:val="List Paragraph"/>
    <w:basedOn w:val="Standard"/>
    <w:qFormat/>
    <w:pPr>
      <w:ind w:left="720"/>
    </w:pPr>
  </w:style>
  <w:style w:type="paragraph" w:styleId="Textocomenta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paragraph" w:styleId="Textodeglobo">
    <w:name w:val="Balloon Text"/>
    <w:basedOn w:val="Standard"/>
    <w:qFormat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Sinlista1">
    <w:name w:val="Sin lista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050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5015"/>
    <w:rPr>
      <w:color w:val="605E5C"/>
      <w:shd w:val="clear" w:color="auto" w:fill="E1DFDD"/>
    </w:rPr>
  </w:style>
  <w:style w:type="paragraph" w:styleId="Listaconvietas">
    <w:name w:val="List Bullet"/>
    <w:basedOn w:val="Normal"/>
    <w:uiPriority w:val="99"/>
    <w:qFormat/>
    <w:rsid w:val="00F05015"/>
    <w:pPr>
      <w:widowControl/>
      <w:numPr>
        <w:numId w:val="2"/>
      </w:numPr>
      <w:suppressAutoHyphens w:val="0"/>
      <w:spacing w:before="240" w:after="240" w:line="400" w:lineRule="exact"/>
      <w:ind w:left="0" w:firstLine="0"/>
      <w:contextualSpacing/>
      <w:textAlignment w:val="auto"/>
    </w:pPr>
    <w:rPr>
      <w:rFonts w:asciiTheme="minorHAnsi" w:eastAsiaTheme="minorEastAsia" w:hAnsiTheme="minorHAnsi" w:cstheme="minorBidi"/>
      <w:color w:val="000000" w:themeColor="text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yenola@gmail.com" TargetMode="External"/><Relationship Id="rId13" Type="http://schemas.openxmlformats.org/officeDocument/2006/relationships/hyperlink" Target="https://doi.org/10.26461/22.02" TargetMode="External"/><Relationship Id="rId18" Type="http://schemas.openxmlformats.org/officeDocument/2006/relationships/hyperlink" Target="https://dx.doi.org/10.1080/20442041.2022.2029317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doi.org/10.5194/hess-19-4099-2015" TargetMode="External"/><Relationship Id="rId17" Type="http://schemas.openxmlformats.org/officeDocument/2006/relationships/hyperlink" Target="https://doi.org/10.2134/jeq2008.011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scitotenv.2005.02.001" TargetMode="External"/><Relationship Id="rId20" Type="http://schemas.openxmlformats.org/officeDocument/2006/relationships/hyperlink" Target="https://doi.org/10.1080/20442041.2019.16081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x.doi.org/10.1007/s11356-024-34718-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3140/RG.2.2.34561.16488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doi.org/10.1007/s11356-025-37033-8" TargetMode="External"/><Relationship Id="rId19" Type="http://schemas.openxmlformats.org/officeDocument/2006/relationships/hyperlink" Target="https://doi.org/10.1016/j.ecoleng.2024.10750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m@ecos.au.dk" TargetMode="External"/><Relationship Id="rId14" Type="http://schemas.openxmlformats.org/officeDocument/2006/relationships/hyperlink" Target="https://doi.org/10.1038/d41586-023-01933-x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QYRf6I08uZyWo7Avtw4yypJZLQ==">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2008</Words>
  <Characters>11049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</dc:creator>
  <cp:lastModifiedBy>Analia Fein Sánchez</cp:lastModifiedBy>
  <cp:revision>2</cp:revision>
  <dcterms:created xsi:type="dcterms:W3CDTF">2025-12-01T13:34:00Z</dcterms:created>
  <dcterms:modified xsi:type="dcterms:W3CDTF">2025-12-01T13:34:00Z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GrammarlyDocumentId">
    <vt:lpwstr>c8bb9b4c-a9ed-446a-8f2a-e249e1424c2c</vt:lpwstr>
  </property>
</Properties>
</file>