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EBB2B" w14:textId="77777777" w:rsidR="00AF4B07" w:rsidRPr="00CC10F8" w:rsidRDefault="00DD3F56" w:rsidP="00C51119">
      <w:pPr>
        <w:pStyle w:val="Standarduser"/>
        <w:spacing w:before="120" w:after="120"/>
        <w:ind w:left="60"/>
        <w:jc w:val="center"/>
        <w:rPr>
          <w:b/>
          <w:color w:val="F2F2F2" w:themeColor="background1" w:themeShade="F2"/>
          <w:sz w:val="22"/>
          <w:szCs w:val="22"/>
        </w:rPr>
      </w:pPr>
      <w:r w:rsidRPr="00CC10F8">
        <w:rPr>
          <w:b/>
          <w:color w:val="F2F2F2" w:themeColor="background1" w:themeShade="F2"/>
          <w:sz w:val="22"/>
          <w:szCs w:val="22"/>
          <w:highlight w:val="blue"/>
        </w:rPr>
        <w:t>AREA GEOCIENCIAS</w:t>
      </w:r>
    </w:p>
    <w:p w14:paraId="3D45F578" w14:textId="77777777" w:rsidR="00CC10F8" w:rsidRDefault="00CC10F8" w:rsidP="00C51119">
      <w:pPr>
        <w:pStyle w:val="Standarduser"/>
        <w:spacing w:before="120" w:after="120"/>
        <w:jc w:val="center"/>
        <w:rPr>
          <w:b/>
          <w:sz w:val="22"/>
          <w:szCs w:val="22"/>
        </w:rPr>
      </w:pPr>
    </w:p>
    <w:p w14:paraId="13E2E756" w14:textId="77777777" w:rsidR="00CC10F8" w:rsidRDefault="00CC10F8" w:rsidP="00C51119">
      <w:pPr>
        <w:pStyle w:val="Standarduser"/>
        <w:spacing w:before="120" w:after="120"/>
        <w:jc w:val="center"/>
        <w:rPr>
          <w:b/>
          <w:sz w:val="22"/>
          <w:szCs w:val="22"/>
        </w:rPr>
      </w:pPr>
    </w:p>
    <w:p w14:paraId="605F3FC7" w14:textId="3FE6CA12" w:rsidR="00AF4B07" w:rsidRPr="002207DA" w:rsidRDefault="00DD3F56" w:rsidP="00C51119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A3B4B7D" w14:textId="77777777" w:rsidR="00406AD5" w:rsidRDefault="00406AD5" w:rsidP="00C51119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F7B6E8D" w14:textId="4E205A76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78A58980" w:rsidR="00AF4B07" w:rsidRPr="0069574E" w:rsidRDefault="0069574E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9574E">
              <w:rPr>
                <w:rFonts w:ascii="Arial" w:hAnsi="Arial" w:cs="Arial"/>
                <w:bCs/>
                <w:sz w:val="20"/>
                <w:szCs w:val="20"/>
              </w:rPr>
              <w:t>Ecología del Paisaje</w:t>
            </w:r>
          </w:p>
        </w:tc>
      </w:tr>
    </w:tbl>
    <w:p w14:paraId="7F358F9E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(máx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0198FBE0" w:rsidR="00AF4B07" w:rsidRPr="0069574E" w:rsidRDefault="0069574E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9574E">
              <w:rPr>
                <w:rFonts w:ascii="Arial" w:hAnsi="Arial" w:cs="Arial"/>
                <w:bCs/>
                <w:sz w:val="20"/>
                <w:szCs w:val="20"/>
              </w:rPr>
              <w:t>Ecología del Paisaje</w:t>
            </w:r>
          </w:p>
        </w:tc>
      </w:tr>
    </w:tbl>
    <w:p w14:paraId="296CC0F2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67F153A7" w:rsidR="00AF4B07" w:rsidRPr="002207DA" w:rsidRDefault="00FC44F3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14:paraId="7FAB2FC6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5BAC0AA7" w:rsidR="00AF4B07" w:rsidRPr="0069574E" w:rsidRDefault="0069574E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74E">
              <w:rPr>
                <w:rFonts w:ascii="Arial" w:hAnsi="Arial" w:cs="Arial"/>
                <w:bCs/>
                <w:sz w:val="20"/>
                <w:szCs w:val="20"/>
              </w:rPr>
              <w:t>17/03/25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2D92ED60" w:rsidR="00AF4B07" w:rsidRPr="0069574E" w:rsidRDefault="0069574E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74E">
              <w:rPr>
                <w:rFonts w:ascii="Arial" w:hAnsi="Arial" w:cs="Arial"/>
                <w:bCs/>
                <w:sz w:val="20"/>
                <w:szCs w:val="20"/>
              </w:rPr>
              <w:t>02/07/25</w:t>
            </w:r>
          </w:p>
        </w:tc>
      </w:tr>
    </w:tbl>
    <w:p w14:paraId="6F118606" w14:textId="77777777" w:rsidR="00AF4B07" w:rsidRPr="002207DA" w:rsidRDefault="002207DA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F4B0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4614ABF4" w:rsidR="00AF4B07" w:rsidRPr="0069574E" w:rsidRDefault="0069574E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74E">
              <w:rPr>
                <w:rFonts w:ascii="Arial" w:hAnsi="Arial" w:cs="Arial"/>
                <w:bCs/>
                <w:sz w:val="20"/>
                <w:szCs w:val="20"/>
              </w:rPr>
              <w:t>10:15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77777777" w:rsidR="00AF4B07" w:rsidRPr="0069574E" w:rsidRDefault="00AF4B07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221577E0" w:rsidR="00AF4B07" w:rsidRPr="0069574E" w:rsidRDefault="0069574E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74E">
              <w:rPr>
                <w:rFonts w:ascii="Arial" w:hAnsi="Arial" w:cs="Arial"/>
                <w:bCs/>
                <w:sz w:val="20"/>
                <w:szCs w:val="20"/>
              </w:rPr>
              <w:t>10:15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B0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6154635A" w:rsidR="00AF4B07" w:rsidRPr="0069574E" w:rsidRDefault="0069574E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74E">
              <w:rPr>
                <w:rFonts w:ascii="Arial" w:hAnsi="Arial" w:cs="Arial"/>
                <w:bCs/>
                <w:sz w:val="20"/>
                <w:szCs w:val="20"/>
              </w:rPr>
              <w:t>12:15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7777777" w:rsidR="00AF4B07" w:rsidRPr="0069574E" w:rsidRDefault="00AF4B07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7D745566" w:rsidR="00AF4B07" w:rsidRPr="0069574E" w:rsidRDefault="0069574E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574E">
              <w:rPr>
                <w:rFonts w:ascii="Arial" w:hAnsi="Arial" w:cs="Arial"/>
                <w:bCs/>
                <w:sz w:val="20"/>
                <w:szCs w:val="20"/>
              </w:rPr>
              <w:t>12:15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18689A61" w14:textId="77777777" w:rsidR="00E317BF" w:rsidRDefault="00E317BF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8E792BB" w14:textId="77777777" w:rsidR="00E317BF" w:rsidRDefault="00E317BF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B9F6F47" w14:textId="77777777" w:rsidR="00E317BF" w:rsidRDefault="00E317BF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93C899" w14:textId="77777777" w:rsidR="00E317BF" w:rsidRDefault="00E317BF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D342C7A" w14:textId="77777777" w:rsidR="00E317BF" w:rsidRDefault="00E317BF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6E60C71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13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  <w:gridCol w:w="2688"/>
        <w:gridCol w:w="2688"/>
      </w:tblGrid>
      <w:tr w:rsidR="00AF4B07" w:rsidRPr="002207DA" w14:paraId="6A302FD2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40D9F553" w:rsidR="00AF4B07" w:rsidRPr="002207DA" w:rsidRDefault="004C5662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AF4B07" w:rsidRPr="002207DA" w14:paraId="39F0D681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1BC13D39" w:rsidR="00AF4B07" w:rsidRPr="002207DA" w:rsidRDefault="00DF0B4C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AF4B07" w:rsidRPr="002207DA" w14:paraId="194FB707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567AA318" w:rsidR="00AF4B07" w:rsidRPr="002207DA" w:rsidRDefault="00DD3F56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  <w:r w:rsidR="00DF0B4C">
              <w:rPr>
                <w:rFonts w:ascii="Arial" w:hAnsi="Arial" w:cs="Arial"/>
              </w:rPr>
              <w:t>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1123035A" w:rsidR="00AF4B07" w:rsidRPr="002207DA" w:rsidRDefault="004C5662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0B4C">
              <w:rPr>
                <w:rFonts w:ascii="Arial" w:hAnsi="Arial" w:cs="Arial"/>
              </w:rPr>
              <w:t>6</w:t>
            </w:r>
          </w:p>
          <w:p w14:paraId="3ECEA9AA" w14:textId="78808FFE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317BF" w:rsidRPr="002207DA" w14:paraId="442105F3" w14:textId="3EFB9DB8" w:rsidTr="00E317BF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5BED" w14:textId="50E2DE2D" w:rsidR="00E317BF" w:rsidRPr="002207DA" w:rsidRDefault="00E317BF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7ED9" w14:textId="77777777" w:rsidR="00E317BF" w:rsidRPr="002207DA" w:rsidRDefault="00E317BF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8" w:type="dxa"/>
            <w:vAlign w:val="center"/>
          </w:tcPr>
          <w:p w14:paraId="55DE680B" w14:textId="4BB480EC" w:rsidR="00E317BF" w:rsidRPr="002207DA" w:rsidRDefault="00E317BF" w:rsidP="00C51119">
            <w:pPr>
              <w:suppressAutoHyphens/>
            </w:pPr>
          </w:p>
        </w:tc>
        <w:tc>
          <w:tcPr>
            <w:tcW w:w="2688" w:type="dxa"/>
            <w:vAlign w:val="center"/>
          </w:tcPr>
          <w:p w14:paraId="504A63C8" w14:textId="77777777" w:rsidR="00E317BF" w:rsidRPr="002207DA" w:rsidRDefault="00E317BF" w:rsidP="00C51119">
            <w:pPr>
              <w:suppressAutoHyphens/>
            </w:pPr>
          </w:p>
        </w:tc>
      </w:tr>
    </w:tbl>
    <w:p w14:paraId="51811AE4" w14:textId="5A7B3202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0F45BF2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</w:t>
      </w:r>
      <w:r w:rsidR="007972C6">
        <w:rPr>
          <w:rFonts w:ascii="Arial" w:hAnsi="Arial" w:cs="Arial"/>
        </w:rPr>
        <w:t xml:space="preserve">* </w:t>
      </w:r>
      <w:r w:rsidRPr="002207DA">
        <w:rPr>
          <w:rFonts w:ascii="Arial" w:hAnsi="Arial" w:cs="Arial"/>
        </w:rPr>
        <w:t>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7720F9A8" w:rsidR="00AF4B07" w:rsidRPr="002207DA" w:rsidRDefault="004C5662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001F0F9E" w:rsidR="00AF4B07" w:rsidRPr="002207DA" w:rsidRDefault="00DF0B4C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05FE1321" w:rsidR="00AF4B07" w:rsidRPr="002207DA" w:rsidRDefault="00DF0B4C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4716A1EF" w:rsidR="00AF4B07" w:rsidRPr="002207DA" w:rsidRDefault="004C5662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18D53875" w:rsidR="00AF4B07" w:rsidRPr="002207DA" w:rsidRDefault="00DF0B4C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4A4F2A10" w:rsidR="00AF4B07" w:rsidRPr="002207DA" w:rsidRDefault="004C5662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2631D905" w:rsidR="00AF4B07" w:rsidRPr="002207DA" w:rsidRDefault="00DF0B4C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77777777" w:rsidR="00AF4B07" w:rsidRPr="002207DA" w:rsidRDefault="00AF4B07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77777777" w:rsidR="00AF4B07" w:rsidRPr="002207DA" w:rsidRDefault="00AF4B07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C10F8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E3F275B" w:rsidR="00CC10F8" w:rsidRPr="002207DA" w:rsidRDefault="00CC10F8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CC10F8" w:rsidRPr="002207DA" w:rsidRDefault="00CC10F8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4CD0AE65" w:rsidR="00CC10F8" w:rsidRPr="002207DA" w:rsidRDefault="00CC10F8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7777777" w:rsidR="00CC10F8" w:rsidRPr="002207DA" w:rsidRDefault="00CC10F8" w:rsidP="00C51119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D57D653" w14:textId="6563B6DC" w:rsidR="000C25C3" w:rsidRDefault="00670F18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0C25C3" w:rsidRPr="0025098B">
        <w:rPr>
          <w:rFonts w:ascii="Arial" w:hAnsi="Arial" w:cs="Arial"/>
          <w:b/>
          <w:bCs/>
        </w:rPr>
        <w:t xml:space="preserve">Se consideran horas </w:t>
      </w:r>
      <w:r w:rsidRPr="0025098B">
        <w:rPr>
          <w:rFonts w:ascii="Arial" w:hAnsi="Arial" w:cs="Arial"/>
          <w:b/>
          <w:bCs/>
        </w:rPr>
        <w:t>presenciales las horas virtuales sincrónicas con el docente</w:t>
      </w:r>
    </w:p>
    <w:p w14:paraId="105F0ABB" w14:textId="77777777" w:rsidR="00442DF4" w:rsidRDefault="00442DF4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373892A8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61EE131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3244024C" w:rsidR="00AF4B07" w:rsidRPr="002207DA" w:rsidRDefault="004C5662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 w:rsidP="00C5111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520" w14:textId="4B25CD79" w:rsidR="00AF4B07" w:rsidRPr="00FC44F3" w:rsidRDefault="00612553" w:rsidP="00612553">
            <w:pPr>
              <w:pStyle w:val="Standard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Curso</w:t>
            </w:r>
            <w:r w:rsidR="004C5662" w:rsidRPr="00FC44F3">
              <w:rPr>
                <w:rFonts w:ascii="Arial" w:hAnsi="Arial" w:cs="Arial"/>
                <w:sz w:val="20"/>
              </w:rPr>
              <w:t xml:space="preserve"> obligatorio de la Maestría de Ciencias Ambientales</w:t>
            </w:r>
            <w:r w:rsidR="001B353B" w:rsidRPr="00FC44F3">
              <w:rPr>
                <w:rFonts w:ascii="Arial" w:hAnsi="Arial" w:cs="Arial"/>
                <w:sz w:val="20"/>
              </w:rPr>
              <w:t xml:space="preserve"> y</w:t>
            </w:r>
            <w:r w:rsidR="004C5662" w:rsidRPr="00FC44F3">
              <w:rPr>
                <w:rFonts w:ascii="Arial" w:hAnsi="Arial" w:cs="Arial"/>
                <w:sz w:val="20"/>
              </w:rPr>
              <w:t xml:space="preserve"> optativo del Especialista en Ciencias Ambientales (Facultad de Ciencias)</w:t>
            </w:r>
            <w:r w:rsidR="001B353B" w:rsidRPr="00FC44F3">
              <w:rPr>
                <w:rFonts w:ascii="Arial" w:hAnsi="Arial" w:cs="Arial"/>
                <w:sz w:val="20"/>
              </w:rPr>
              <w:t xml:space="preserve">. </w:t>
            </w:r>
            <w:r w:rsidR="00FC44F3">
              <w:rPr>
                <w:rFonts w:ascii="Arial" w:hAnsi="Arial" w:cs="Arial"/>
                <w:sz w:val="20"/>
              </w:rPr>
              <w:t>Está acreditado para</w:t>
            </w:r>
            <w:r w:rsidR="001B353B" w:rsidRPr="00FC44F3">
              <w:rPr>
                <w:rFonts w:ascii="Arial" w:hAnsi="Arial" w:cs="Arial"/>
                <w:sz w:val="20"/>
              </w:rPr>
              <w:t xml:space="preserve"> </w:t>
            </w:r>
            <w:r w:rsidR="004C5662" w:rsidRPr="00FC44F3">
              <w:rPr>
                <w:rFonts w:ascii="Arial" w:hAnsi="Arial" w:cs="Arial"/>
                <w:sz w:val="20"/>
              </w:rPr>
              <w:t xml:space="preserve">la Maestría y Doctorado de Ciencias Agrarias (Facultad de Agronomía), </w:t>
            </w:r>
            <w:r w:rsidR="00FC44F3">
              <w:rPr>
                <w:rFonts w:ascii="Arial" w:hAnsi="Arial" w:cs="Arial"/>
                <w:sz w:val="20"/>
              </w:rPr>
              <w:t xml:space="preserve">y </w:t>
            </w:r>
            <w:r w:rsidR="001B353B" w:rsidRPr="00FC44F3">
              <w:rPr>
                <w:rFonts w:ascii="Arial" w:hAnsi="Arial" w:cs="Arial"/>
                <w:sz w:val="20"/>
              </w:rPr>
              <w:t>la</w:t>
            </w:r>
            <w:r w:rsidR="004C5662" w:rsidRPr="00FC44F3">
              <w:rPr>
                <w:rFonts w:ascii="Arial" w:hAnsi="Arial" w:cs="Arial"/>
                <w:sz w:val="20"/>
              </w:rPr>
              <w:t xml:space="preserve"> Maestría de Gestión Costera Integrada.</w:t>
            </w:r>
            <w:r w:rsidR="001B353B" w:rsidRPr="00FC44F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Admite también estudiantes de otras carreras de posgrado. </w:t>
            </w:r>
            <w:r w:rsidR="00FC44F3">
              <w:rPr>
                <w:rFonts w:ascii="Arial" w:hAnsi="Arial" w:cs="Arial"/>
                <w:sz w:val="20"/>
              </w:rPr>
              <w:t>No admite</w:t>
            </w:r>
            <w:r w:rsidR="001B353B" w:rsidRPr="00FC44F3">
              <w:rPr>
                <w:rFonts w:ascii="Arial" w:hAnsi="Arial" w:cs="Arial"/>
                <w:sz w:val="20"/>
              </w:rPr>
              <w:t xml:space="preserve"> estudiantes de grado</w:t>
            </w:r>
            <w:r w:rsidR="00FC44F3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17124278" w14:textId="77777777" w:rsidR="00AF4B07" w:rsidRPr="002207DA" w:rsidRDefault="002207DA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3DFD1ABE" w:rsidR="00AF4B07" w:rsidRPr="00FC44F3" w:rsidRDefault="001B353B" w:rsidP="00612553">
            <w:pPr>
              <w:pStyle w:val="Standard"/>
              <w:spacing w:after="120" w:line="240" w:lineRule="auto"/>
              <w:rPr>
                <w:rFonts w:ascii="Arial" w:hAnsi="Arial" w:cs="Arial"/>
              </w:rPr>
            </w:pPr>
            <w:r w:rsidRPr="00FC44F3">
              <w:rPr>
                <w:rFonts w:ascii="Arial" w:hAnsi="Arial" w:cs="Arial"/>
                <w:sz w:val="20"/>
              </w:rPr>
              <w:t>Mixta (con fuerte componente virtual sincrónic</w:t>
            </w:r>
            <w:r w:rsidR="00FC44F3">
              <w:rPr>
                <w:rFonts w:ascii="Arial" w:hAnsi="Arial" w:cs="Arial"/>
                <w:sz w:val="20"/>
              </w:rPr>
              <w:t>o</w:t>
            </w:r>
            <w:r w:rsidRPr="00FC44F3">
              <w:rPr>
                <w:rFonts w:ascii="Arial" w:hAnsi="Arial" w:cs="Arial"/>
                <w:sz w:val="20"/>
              </w:rPr>
              <w:t>). Las ins</w:t>
            </w:r>
            <w:r w:rsidR="009730AA" w:rsidRPr="00FC44F3">
              <w:rPr>
                <w:rFonts w:ascii="Arial" w:hAnsi="Arial" w:cs="Arial"/>
                <w:sz w:val="20"/>
              </w:rPr>
              <w:t>tancias presenciales serán realizadas en simultáneo por Zoom,</w:t>
            </w:r>
            <w:r w:rsidRPr="00FC44F3">
              <w:rPr>
                <w:rFonts w:ascii="Arial" w:hAnsi="Arial" w:cs="Arial"/>
                <w:sz w:val="20"/>
              </w:rPr>
              <w:t xml:space="preserve"> para permitir a estudiantes del interior o el exterior seguir el curso.</w:t>
            </w:r>
          </w:p>
        </w:tc>
      </w:tr>
    </w:tbl>
    <w:p w14:paraId="0AB970C3" w14:textId="77777777" w:rsidR="00AF4B07" w:rsidRPr="002207DA" w:rsidRDefault="00AF4B07" w:rsidP="00C51119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FC44F3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7B5F382E" w:rsidR="00AF4B07" w:rsidRPr="00FC44F3" w:rsidRDefault="006A5875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sz w:val="20"/>
              </w:rPr>
              <w:t>Ofelia Gutiérrez (oguti@fcien.edu.uy) , Daniel Panario (panari@fcien.edu.uy)</w:t>
            </w:r>
          </w:p>
        </w:tc>
      </w:tr>
    </w:tbl>
    <w:p w14:paraId="6DD55F0A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DF77ED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2E4CC3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18C4" w14:textId="1073DC62" w:rsidR="00AF4B07" w:rsidRPr="00FC44F3" w:rsidRDefault="006A5875" w:rsidP="00C51119">
            <w:pPr>
              <w:pStyle w:val="Standard"/>
              <w:tabs>
                <w:tab w:val="left" w:pos="31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sz w:val="20"/>
              </w:rPr>
              <w:t>El curso pretende brindar al estudiante  elementos teóricos y herramientas técnicas para analizar y evaluar la dinámica del paisaje, e identificar los factores que modulan los cambios temporo-espaciales en el mismo, en el marco del Antropoceno.</w:t>
            </w:r>
          </w:p>
          <w:p w14:paraId="7F5DA651" w14:textId="77777777" w:rsidR="006A5875" w:rsidRPr="00FC44F3" w:rsidRDefault="006A5875" w:rsidP="00C51119">
            <w:pPr>
              <w:numPr>
                <w:ilvl w:val="0"/>
                <w:numId w:val="4"/>
              </w:numPr>
              <w:tabs>
                <w:tab w:val="left" w:pos="313"/>
              </w:tabs>
              <w:suppressAutoHyphens/>
              <w:spacing w:after="0"/>
              <w:ind w:left="42" w:hanging="42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sz w:val="20"/>
              </w:rPr>
              <w:t>Comprender los factores naturales y antrópicos que modelan el paisaje y las modificaciones sobre el ciclo hidrológico.</w:t>
            </w:r>
          </w:p>
          <w:p w14:paraId="46C2779F" w14:textId="77777777" w:rsidR="006A5875" w:rsidRPr="00FC44F3" w:rsidRDefault="006A5875" w:rsidP="00C51119">
            <w:pPr>
              <w:numPr>
                <w:ilvl w:val="0"/>
                <w:numId w:val="4"/>
              </w:numPr>
              <w:tabs>
                <w:tab w:val="left" w:pos="313"/>
              </w:tabs>
              <w:suppressAutoHyphens/>
              <w:spacing w:after="0"/>
              <w:ind w:left="42" w:hanging="42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sz w:val="20"/>
              </w:rPr>
              <w:lastRenderedPageBreak/>
              <w:t>Identificar y analizar los impactos ambientales por cambios en el uso del territorio, tales como la producción agropecuaria, el monocultivo forestal, el turismo, el desarrollo urbano u obras de ingeniería.</w:t>
            </w:r>
          </w:p>
          <w:p w14:paraId="4BCC07E7" w14:textId="77777777" w:rsidR="006A5875" w:rsidRPr="00FC44F3" w:rsidRDefault="006A5875" w:rsidP="00C51119">
            <w:pPr>
              <w:numPr>
                <w:ilvl w:val="0"/>
                <w:numId w:val="4"/>
              </w:numPr>
              <w:tabs>
                <w:tab w:val="left" w:pos="313"/>
              </w:tabs>
              <w:suppressAutoHyphens/>
              <w:spacing w:after="0"/>
              <w:ind w:left="42" w:hanging="42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sz w:val="20"/>
              </w:rPr>
              <w:t xml:space="preserve">Realizar relevamiento integrado de recursos naturales. </w:t>
            </w:r>
          </w:p>
          <w:p w14:paraId="7EF1A0C7" w14:textId="2D7523F6" w:rsidR="00AF4B07" w:rsidRPr="002207DA" w:rsidRDefault="006A5875" w:rsidP="00C51119">
            <w:pPr>
              <w:numPr>
                <w:ilvl w:val="0"/>
                <w:numId w:val="4"/>
              </w:numPr>
              <w:tabs>
                <w:tab w:val="left" w:pos="313"/>
              </w:tabs>
              <w:suppressAutoHyphens/>
              <w:spacing w:after="0"/>
              <w:ind w:left="42" w:hanging="42"/>
              <w:rPr>
                <w:rFonts w:ascii="Arial" w:hAnsi="Arial" w:cs="Arial"/>
              </w:rPr>
            </w:pPr>
            <w:r w:rsidRPr="00FC44F3">
              <w:rPr>
                <w:rFonts w:ascii="Arial" w:hAnsi="Arial" w:cs="Arial"/>
                <w:sz w:val="20"/>
              </w:rPr>
              <w:t>Analizar las relaciones espaciales que condicionan la distribución y conservación de la biodiversidad, en un contexto evolutivo y de preservación de las funciones ecosistémicas.</w:t>
            </w:r>
          </w:p>
        </w:tc>
      </w:tr>
    </w:tbl>
    <w:p w14:paraId="29825BEF" w14:textId="77777777" w:rsidR="009730AA" w:rsidRDefault="009730AA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323EA4C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353C" w14:textId="77777777" w:rsidR="006A5875" w:rsidRPr="00FC44F3" w:rsidRDefault="006A5875" w:rsidP="00C51119">
            <w:pPr>
              <w:pStyle w:val="Default"/>
              <w:suppressAutoHyphens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FC44F3">
              <w:rPr>
                <w:rFonts w:ascii="Arial" w:hAnsi="Arial" w:cs="Arial"/>
                <w:sz w:val="20"/>
                <w:szCs w:val="22"/>
              </w:rPr>
              <w:t xml:space="preserve">La estrategia de enseñanza constará de: </w:t>
            </w:r>
          </w:p>
          <w:p w14:paraId="393301C9" w14:textId="1B1D7AE9" w:rsidR="006A5875" w:rsidRPr="00FC44F3" w:rsidRDefault="006A5875" w:rsidP="00C51119">
            <w:pPr>
              <w:pStyle w:val="Default"/>
              <w:suppressAutoHyphens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FC44F3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i) Teóricos expositivos: </w:t>
            </w:r>
            <w:r w:rsidRPr="00FC44F3">
              <w:rPr>
                <w:rFonts w:ascii="Arial" w:hAnsi="Arial" w:cs="Arial"/>
                <w:sz w:val="20"/>
                <w:szCs w:val="22"/>
              </w:rPr>
              <w:t xml:space="preserve">Las clases se complementarán con proyección de material audiovisual, manejo de textos de apoyo y repartidos proporcionados por los docentes y disponibles en EVA. </w:t>
            </w:r>
          </w:p>
          <w:p w14:paraId="78EAD434" w14:textId="30C761C7" w:rsidR="006A5875" w:rsidRPr="00FC44F3" w:rsidRDefault="006A5875" w:rsidP="00C51119">
            <w:pPr>
              <w:pStyle w:val="Default"/>
              <w:suppressAutoHyphens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FC44F3">
              <w:rPr>
                <w:rFonts w:ascii="Arial" w:hAnsi="Arial" w:cs="Arial"/>
                <w:i/>
                <w:iCs/>
                <w:sz w:val="20"/>
                <w:szCs w:val="22"/>
              </w:rPr>
              <w:t>ii) Talleres de discusión:</w:t>
            </w:r>
            <w:r w:rsidRPr="00FC44F3">
              <w:rPr>
                <w:rFonts w:ascii="Arial" w:hAnsi="Arial" w:cs="Arial"/>
                <w:sz w:val="20"/>
                <w:szCs w:val="22"/>
              </w:rPr>
              <w:t xml:space="preserve"> Se presentaran casos concretos (para ello se recurrirá a visualización de videos, textos científicos, artículos de prensa de temas de actualidad, etc.) que deben analizarse desde un abordaje de</w:t>
            </w:r>
            <w:r w:rsidR="00FC44F3">
              <w:rPr>
                <w:rFonts w:ascii="Arial" w:hAnsi="Arial" w:cs="Arial"/>
                <w:sz w:val="20"/>
                <w:szCs w:val="22"/>
              </w:rPr>
              <w:t xml:space="preserve"> la</w:t>
            </w:r>
            <w:r w:rsidRPr="00FC44F3">
              <w:rPr>
                <w:rFonts w:ascii="Arial" w:hAnsi="Arial" w:cs="Arial"/>
                <w:sz w:val="20"/>
                <w:szCs w:val="22"/>
              </w:rPr>
              <w:t xml:space="preserve"> Ecología del Paisaje. </w:t>
            </w:r>
            <w:r w:rsidR="00794B5D">
              <w:rPr>
                <w:rFonts w:ascii="Arial" w:hAnsi="Arial" w:cs="Arial"/>
                <w:sz w:val="20"/>
                <w:szCs w:val="22"/>
              </w:rPr>
              <w:t xml:space="preserve"> (Actividades con evaluación para aprobación del curso)</w:t>
            </w:r>
          </w:p>
          <w:p w14:paraId="78459968" w14:textId="3E1CB98A" w:rsidR="009730AA" w:rsidRPr="00FC44F3" w:rsidRDefault="006A5875" w:rsidP="00C51119">
            <w:pPr>
              <w:pStyle w:val="Default"/>
              <w:suppressAutoHyphens/>
              <w:spacing w:after="0"/>
              <w:rPr>
                <w:rFonts w:ascii="Arial" w:hAnsi="Arial" w:cs="Arial"/>
                <w:sz w:val="20"/>
                <w:szCs w:val="22"/>
              </w:rPr>
            </w:pPr>
            <w:r w:rsidRPr="00FC44F3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iii) Seminarios: </w:t>
            </w:r>
            <w:r w:rsidRPr="00FC44F3">
              <w:rPr>
                <w:rFonts w:ascii="Arial" w:hAnsi="Arial" w:cs="Arial"/>
                <w:sz w:val="20"/>
                <w:szCs w:val="22"/>
              </w:rPr>
              <w:t>Se entregarán artículos científicos vinculados con la temática, que serán analizados individualmente o en grupos pequeños, y cuyo análisis crítico deberá ser presentado en forma oral, culminando con preguntas y discusión sobre cada presentación y un informe de evaluación de las presentaciones.</w:t>
            </w:r>
            <w:r w:rsidR="00794B5D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794B5D">
              <w:rPr>
                <w:rFonts w:ascii="Arial" w:hAnsi="Arial" w:cs="Arial"/>
                <w:sz w:val="20"/>
                <w:szCs w:val="22"/>
              </w:rPr>
              <w:t>(Actividades con evaluación para aprobación del curso)</w:t>
            </w:r>
          </w:p>
          <w:p w14:paraId="74322082" w14:textId="28C30917" w:rsidR="006A5875" w:rsidRDefault="006A5875" w:rsidP="00C51119">
            <w:pPr>
              <w:pStyle w:val="Default"/>
              <w:suppressAutoHyphens/>
              <w:spacing w:after="0"/>
              <w:rPr>
                <w:rFonts w:ascii="Arial" w:hAnsi="Arial" w:cs="Arial"/>
                <w:iCs/>
                <w:sz w:val="20"/>
                <w:szCs w:val="22"/>
              </w:rPr>
            </w:pPr>
            <w:r w:rsidRPr="00FC44F3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iv) Salida de campo: </w:t>
            </w:r>
            <w:r w:rsidRPr="00FC44F3">
              <w:rPr>
                <w:rFonts w:ascii="Arial" w:hAnsi="Arial" w:cs="Arial"/>
                <w:iCs/>
                <w:sz w:val="20"/>
                <w:szCs w:val="22"/>
              </w:rPr>
              <w:t xml:space="preserve">En la misma se pretende analizar sobre algunos casos de estudio, la evolución del paisaje y los efectos del cambio global sobre el mismo (con énfasis en el cambio de uso del suelo). </w:t>
            </w:r>
          </w:p>
          <w:p w14:paraId="6F06C297" w14:textId="39F11E0D" w:rsidR="00794B5D" w:rsidRPr="00FC44F3" w:rsidRDefault="00794B5D" w:rsidP="00C51119">
            <w:pPr>
              <w:pStyle w:val="Default"/>
              <w:suppressAutoHyphens/>
              <w:spacing w:after="0"/>
              <w:rPr>
                <w:rFonts w:ascii="Arial" w:hAnsi="Arial" w:cs="Arial"/>
                <w:iCs/>
                <w:sz w:val="20"/>
                <w:szCs w:val="22"/>
              </w:rPr>
            </w:pPr>
            <w:r w:rsidRPr="00794B5D">
              <w:rPr>
                <w:rFonts w:ascii="Arial" w:hAnsi="Arial" w:cs="Arial"/>
                <w:i/>
                <w:iCs/>
                <w:sz w:val="20"/>
                <w:szCs w:val="22"/>
              </w:rPr>
              <w:t>v) Examen oral globalizador</w:t>
            </w:r>
            <w:r>
              <w:rPr>
                <w:rFonts w:ascii="Arial" w:hAnsi="Arial" w:cs="Arial"/>
                <w:i/>
                <w:iCs/>
                <w:sz w:val="20"/>
                <w:szCs w:val="22"/>
              </w:rPr>
              <w:t>:</w:t>
            </w:r>
            <w:r>
              <w:rPr>
                <w:rFonts w:ascii="Arial" w:hAnsi="Arial" w:cs="Arial"/>
                <w:iCs/>
                <w:sz w:val="20"/>
                <w:szCs w:val="22"/>
              </w:rPr>
              <w:t xml:space="preserve"> </w:t>
            </w:r>
            <w:r w:rsidR="008C368E" w:rsidRPr="008C368E">
              <w:rPr>
                <w:rFonts w:ascii="Arial" w:hAnsi="Arial" w:cs="Arial"/>
                <w:iCs/>
                <w:sz w:val="20"/>
                <w:szCs w:val="22"/>
              </w:rPr>
              <w:t>El objetivo es evaluar la comprensión de la materia y la capacidad del estudiante (teniendo en cuenta su formación previa de grado y posgrado) para interpretar la evolución del paisaje y los factores desencadenantes de esos cambios</w:t>
            </w:r>
            <w:r w:rsidRPr="00794B5D">
              <w:rPr>
                <w:rFonts w:ascii="Arial" w:hAnsi="Arial" w:cs="Arial"/>
                <w:iCs/>
                <w:sz w:val="20"/>
                <w:szCs w:val="22"/>
              </w:rPr>
              <w:t>.</w:t>
            </w:r>
          </w:p>
          <w:p w14:paraId="512F98E7" w14:textId="3EE57C90" w:rsidR="00AF4B07" w:rsidRPr="00FC44F3" w:rsidRDefault="006A5875" w:rsidP="00C51119">
            <w:pPr>
              <w:pStyle w:val="Default"/>
              <w:suppressAutoHyphens/>
              <w:spacing w:after="0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iCs/>
                <w:sz w:val="20"/>
                <w:szCs w:val="22"/>
              </w:rPr>
              <w:t>Nota: A los estudiantes que por estar en el exterior</w:t>
            </w:r>
            <w:r w:rsidR="00FC44F3">
              <w:rPr>
                <w:rFonts w:ascii="Arial" w:hAnsi="Arial" w:cs="Arial"/>
                <w:iCs/>
                <w:sz w:val="20"/>
                <w:szCs w:val="22"/>
              </w:rPr>
              <w:t>,</w:t>
            </w:r>
            <w:r w:rsidRPr="00FC44F3">
              <w:rPr>
                <w:rFonts w:ascii="Arial" w:hAnsi="Arial" w:cs="Arial"/>
                <w:iCs/>
                <w:sz w:val="20"/>
                <w:szCs w:val="22"/>
              </w:rPr>
              <w:t xml:space="preserve"> no puedan participar </w:t>
            </w:r>
            <w:r w:rsidR="009730AA" w:rsidRPr="00FC44F3">
              <w:rPr>
                <w:rFonts w:ascii="Arial" w:hAnsi="Arial" w:cs="Arial"/>
                <w:iCs/>
                <w:sz w:val="20"/>
                <w:szCs w:val="22"/>
              </w:rPr>
              <w:t>de la salida de campo, se les propondrá actividades complementarias.</w:t>
            </w:r>
          </w:p>
        </w:tc>
      </w:tr>
    </w:tbl>
    <w:p w14:paraId="3257C6CF" w14:textId="77777777" w:rsidR="000D1734" w:rsidRDefault="000D1734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97C1" w14:textId="77777777" w:rsidR="009730AA" w:rsidRPr="00FC44F3" w:rsidRDefault="009730AA" w:rsidP="00C51119">
            <w:pPr>
              <w:suppressAutoHyphens/>
              <w:spacing w:after="0"/>
              <w:rPr>
                <w:rFonts w:ascii="Arial" w:hAnsi="Arial" w:cs="Arial"/>
                <w:b/>
                <w:smallCaps/>
                <w:sz w:val="20"/>
              </w:rPr>
            </w:pPr>
            <w:r w:rsidRPr="00FC44F3">
              <w:rPr>
                <w:rFonts w:ascii="Arial" w:hAnsi="Arial" w:cs="Arial"/>
                <w:b/>
                <w:smallCaps/>
                <w:sz w:val="20"/>
              </w:rPr>
              <w:t>I. INTRODUCCIÓN Y PRINCIPALES CONCEPTOS</w:t>
            </w:r>
          </w:p>
          <w:p w14:paraId="7E2B6B7E" w14:textId="70AA9E06" w:rsidR="009730AA" w:rsidRPr="00FC44F3" w:rsidRDefault="009730AA" w:rsidP="00C51119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b/>
                <w:sz w:val="20"/>
              </w:rPr>
              <w:t>a)</w:t>
            </w:r>
            <w:r w:rsidRPr="00FC44F3">
              <w:rPr>
                <w:rFonts w:ascii="Arial" w:hAnsi="Arial" w:cs="Arial"/>
                <w:sz w:val="20"/>
              </w:rPr>
              <w:t xml:space="preserve"> </w:t>
            </w:r>
            <w:r w:rsidRPr="00FC44F3">
              <w:rPr>
                <w:rFonts w:ascii="Arial" w:hAnsi="Arial" w:cs="Arial"/>
                <w:b/>
                <w:sz w:val="20"/>
              </w:rPr>
              <w:t>Introducción a la Ecología del Paisaje</w:t>
            </w:r>
            <w:r w:rsidR="00C51119">
              <w:rPr>
                <w:rFonts w:ascii="Arial" w:hAnsi="Arial" w:cs="Arial"/>
                <w:b/>
                <w:sz w:val="20"/>
              </w:rPr>
              <w:t xml:space="preserve">: </w:t>
            </w:r>
            <w:r w:rsidRPr="00FC44F3">
              <w:rPr>
                <w:rFonts w:ascii="Arial" w:hAnsi="Arial" w:cs="Arial"/>
                <w:sz w:val="20"/>
              </w:rPr>
              <w:t>Definición y alcances. La Ecología del paisaje en las escuelas americana, española y francesa. Aproximación teórica de las distintas escuelas al concepto de estructura, fu</w:t>
            </w:r>
            <w:bookmarkStart w:id="0" w:name="_GoBack"/>
            <w:bookmarkEnd w:id="0"/>
            <w:r w:rsidRPr="00FC44F3">
              <w:rPr>
                <w:rFonts w:ascii="Arial" w:hAnsi="Arial" w:cs="Arial"/>
                <w:sz w:val="20"/>
              </w:rPr>
              <w:t>ncionamiento y comportamiento del paisaje.</w:t>
            </w:r>
          </w:p>
          <w:p w14:paraId="220CC21F" w14:textId="44BBE9F8" w:rsidR="009730AA" w:rsidRPr="00FC44F3" w:rsidRDefault="009730AA" w:rsidP="00C51119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b/>
                <w:sz w:val="20"/>
              </w:rPr>
              <w:t>b)  El sistema sociedad-naturaleza y sus interacciones</w:t>
            </w:r>
            <w:r w:rsidR="00C51119">
              <w:rPr>
                <w:rFonts w:ascii="Arial" w:hAnsi="Arial" w:cs="Arial"/>
                <w:b/>
                <w:sz w:val="20"/>
              </w:rPr>
              <w:t xml:space="preserve">: </w:t>
            </w:r>
            <w:r w:rsidRPr="00FC44F3">
              <w:rPr>
                <w:rFonts w:ascii="Arial" w:hAnsi="Arial" w:cs="Arial"/>
                <w:sz w:val="20"/>
              </w:rPr>
              <w:t xml:space="preserve">El paisaje como sistema de interacciones entre el relieve, el clima, el suelo, la vegetación y las acciones humanas. El paisaje sensible. Geosistema, sistema geográfico, ambiente y paisaje. Fenosistema y criptosistema. </w:t>
            </w:r>
          </w:p>
          <w:p w14:paraId="6BB86C51" w14:textId="559BA3DC" w:rsidR="009730AA" w:rsidRPr="00FC44F3" w:rsidRDefault="009730AA" w:rsidP="00C51119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b/>
                <w:sz w:val="20"/>
              </w:rPr>
              <w:t>c)</w:t>
            </w:r>
            <w:r w:rsidRPr="00FC44F3">
              <w:rPr>
                <w:rFonts w:ascii="Arial" w:hAnsi="Arial" w:cs="Arial"/>
                <w:sz w:val="20"/>
              </w:rPr>
              <w:t xml:space="preserve"> </w:t>
            </w:r>
            <w:r w:rsidRPr="00FC44F3">
              <w:rPr>
                <w:rFonts w:ascii="Arial" w:hAnsi="Arial" w:cs="Arial"/>
                <w:b/>
                <w:sz w:val="20"/>
              </w:rPr>
              <w:t>Cambio Global</w:t>
            </w:r>
            <w:r w:rsidR="00C51119">
              <w:rPr>
                <w:rFonts w:ascii="Arial" w:hAnsi="Arial" w:cs="Arial"/>
                <w:b/>
                <w:sz w:val="20"/>
              </w:rPr>
              <w:t xml:space="preserve">: </w:t>
            </w:r>
            <w:r w:rsidRPr="00FC44F3">
              <w:rPr>
                <w:rFonts w:ascii="Arial" w:hAnsi="Arial" w:cs="Arial"/>
                <w:sz w:val="20"/>
              </w:rPr>
              <w:t xml:space="preserve">Antropoceno. Cambio global y sus repercusiones, pasado, presente y futuro. Impulsores de cambio. </w:t>
            </w:r>
          </w:p>
          <w:p w14:paraId="7C7D669E" w14:textId="0437CF82" w:rsidR="009730AA" w:rsidRPr="00FC44F3" w:rsidRDefault="009730AA" w:rsidP="00C51119">
            <w:pPr>
              <w:tabs>
                <w:tab w:val="left" w:pos="426"/>
              </w:tabs>
              <w:suppressAutoHyphens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b/>
                <w:sz w:val="20"/>
              </w:rPr>
              <w:t>d) Elementos del Paisaje</w:t>
            </w:r>
            <w:r w:rsidR="00C51119">
              <w:rPr>
                <w:rFonts w:ascii="Arial" w:hAnsi="Arial" w:cs="Arial"/>
                <w:b/>
                <w:sz w:val="20"/>
              </w:rPr>
              <w:t xml:space="preserve">: </w:t>
            </w:r>
            <w:r w:rsidRPr="00FC44F3">
              <w:rPr>
                <w:rFonts w:ascii="Arial" w:hAnsi="Arial" w:cs="Arial"/>
                <w:sz w:val="20"/>
              </w:rPr>
              <w:t>Distribución espacial y evolución temporal de la biota en el paisaje. El paisaje como mosaico. El concepto de parche y sus implicancias. Relaciones matriz–grano. Bordes (permeables, impermeables, difusos, netos, concepto de fractal). Corredores. Relaciones parches-corredores. Relación tamaño de los parches y su relación con la dinámica de poblaciones. Modelos cuantitativos de análisis de la estructura espacial.</w:t>
            </w:r>
          </w:p>
          <w:p w14:paraId="71D6A80B" w14:textId="77777777" w:rsidR="009730AA" w:rsidRPr="00FC44F3" w:rsidRDefault="009730AA" w:rsidP="00C51119">
            <w:pPr>
              <w:suppressAutoHyphens/>
              <w:spacing w:after="0"/>
              <w:rPr>
                <w:rFonts w:ascii="Arial" w:hAnsi="Arial" w:cs="Arial"/>
                <w:b/>
                <w:sz w:val="20"/>
              </w:rPr>
            </w:pPr>
            <w:r w:rsidRPr="00FC44F3">
              <w:rPr>
                <w:rFonts w:ascii="Arial" w:hAnsi="Arial" w:cs="Arial"/>
                <w:b/>
                <w:smallCaps/>
                <w:sz w:val="20"/>
              </w:rPr>
              <w:lastRenderedPageBreak/>
              <w:t xml:space="preserve">II.  </w:t>
            </w:r>
            <w:r w:rsidRPr="00FC44F3">
              <w:rPr>
                <w:rFonts w:ascii="Arial" w:hAnsi="Arial" w:cs="Arial"/>
                <w:b/>
                <w:sz w:val="20"/>
              </w:rPr>
              <w:t>LA COMPONENTE BIO-FÍSICO-QUÍMICA EN LA DINÁMICA DEL PAISAJE</w:t>
            </w:r>
          </w:p>
          <w:p w14:paraId="52F99685" w14:textId="77777777" w:rsidR="009730AA" w:rsidRPr="00FC44F3" w:rsidRDefault="009730AA" w:rsidP="00C51119">
            <w:pPr>
              <w:suppressAutoHyphens/>
              <w:spacing w:after="120"/>
              <w:ind w:left="87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sz w:val="20"/>
              </w:rPr>
              <w:t>Se abordan aquí los procesos de retroalimentación entre el cambio de uso del suelo y el cambio climático, y las repercusiones en el ciclo hidrológico, el modelado del relieve y  los ciclos biogeoquímicos.</w:t>
            </w:r>
          </w:p>
          <w:p w14:paraId="299F2457" w14:textId="59C6A068" w:rsidR="009730AA" w:rsidRPr="00FC44F3" w:rsidRDefault="009730AA" w:rsidP="00C51119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b/>
                <w:sz w:val="20"/>
              </w:rPr>
              <w:t>e) El ciclo hidrológico</w:t>
            </w:r>
            <w:r w:rsidR="00C51119">
              <w:rPr>
                <w:rFonts w:ascii="Arial" w:hAnsi="Arial" w:cs="Arial"/>
                <w:b/>
                <w:sz w:val="20"/>
              </w:rPr>
              <w:t xml:space="preserve">: </w:t>
            </w:r>
            <w:r w:rsidRPr="00FC44F3">
              <w:rPr>
                <w:rFonts w:ascii="Arial" w:hAnsi="Arial" w:cs="Arial"/>
                <w:sz w:val="20"/>
              </w:rPr>
              <w:t>Funcionamiento y procesos. La cuenca hidrográfica como unidad de análisis. La importancia en el funcionamiento del paisaje. Respuestas y ajustes frente a modificaciones del mismo. Funcionamiento y comportamiento de los ciclos biogeoquímicos (agua, calcio, fósforo, hierro, nitrógeno, potasio, sílice,  sodio) y sus interacciones.</w:t>
            </w:r>
          </w:p>
          <w:p w14:paraId="4FE482EF" w14:textId="43B673A5" w:rsidR="009730AA" w:rsidRPr="00FC44F3" w:rsidRDefault="009730AA" w:rsidP="00C51119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b/>
                <w:sz w:val="20"/>
              </w:rPr>
              <w:t>f) Dinámica de vertientes</w:t>
            </w:r>
            <w:r w:rsidR="00C51119">
              <w:rPr>
                <w:rFonts w:ascii="Arial" w:hAnsi="Arial" w:cs="Arial"/>
                <w:b/>
                <w:sz w:val="20"/>
              </w:rPr>
              <w:t xml:space="preserve">: </w:t>
            </w:r>
            <w:r w:rsidRPr="00FC44F3">
              <w:rPr>
                <w:rFonts w:ascii="Arial" w:hAnsi="Arial" w:cs="Arial"/>
                <w:sz w:val="20"/>
              </w:rPr>
              <w:t>El relieve. La relación pedogénesis, morfogénesis, oleaje, playas arenosas, sedimentación y sucesión vegetal. Escorrentía, erosión y movimientos de masa, procesos de formación y transformación de los suelos. Ajustes y respuestas frente a perturbaciones y conceptos de restauración.</w:t>
            </w:r>
          </w:p>
          <w:p w14:paraId="23068D53" w14:textId="21F98E7A" w:rsidR="009730AA" w:rsidRPr="00FC44F3" w:rsidRDefault="009730AA" w:rsidP="00C51119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b/>
                <w:sz w:val="20"/>
              </w:rPr>
              <w:t>g) Dinámica fluvial</w:t>
            </w:r>
            <w:r w:rsidR="00C51119">
              <w:rPr>
                <w:rFonts w:ascii="Arial" w:hAnsi="Arial" w:cs="Arial"/>
                <w:b/>
                <w:sz w:val="20"/>
              </w:rPr>
              <w:t xml:space="preserve">: </w:t>
            </w:r>
            <w:r w:rsidRPr="00FC44F3">
              <w:rPr>
                <w:rFonts w:ascii="Arial" w:hAnsi="Arial" w:cs="Arial"/>
                <w:sz w:val="20"/>
              </w:rPr>
              <w:t>Procesos fluviales. Caracterización de ríos y riberas. “Espacio de libertad”. Ajustes y respuestas frente a perturbaciones y conceptos de restauración de ríos y riberas.</w:t>
            </w:r>
          </w:p>
          <w:p w14:paraId="3D2B5F4F" w14:textId="18D36400" w:rsidR="009730AA" w:rsidRPr="00FC44F3" w:rsidRDefault="009730AA" w:rsidP="00C51119">
            <w:pPr>
              <w:tabs>
                <w:tab w:val="left" w:pos="426"/>
              </w:tabs>
              <w:suppressAutoHyphens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b/>
                <w:sz w:val="20"/>
              </w:rPr>
              <w:t>h) Dinámica de costas marinas</w:t>
            </w:r>
            <w:r w:rsidR="00C51119">
              <w:rPr>
                <w:rFonts w:ascii="Arial" w:hAnsi="Arial" w:cs="Arial"/>
                <w:sz w:val="20"/>
              </w:rPr>
              <w:t xml:space="preserve">: </w:t>
            </w:r>
            <w:r w:rsidRPr="00FC44F3">
              <w:rPr>
                <w:rFonts w:ascii="Arial" w:hAnsi="Arial" w:cs="Arial"/>
                <w:sz w:val="20"/>
              </w:rPr>
              <w:t>Morfología y dinámica litoral costera, oleaje, perfiles de playas y procesos, mareas, deriva litoral, clasificación de playas, procesos de erosión y acreción de costas. Fuentes de arena y balance sedimentario en la zona litoral activa (inframareal, intermareal, supramareal), Dinámica eólica y dunas activas. Aplicación del concepto de “Espacio de Libertad” en ambientes costeros. Ajustes y respuestas frente a perturbaciones y conceptos de restauración.</w:t>
            </w:r>
          </w:p>
          <w:p w14:paraId="43F42B25" w14:textId="77777777" w:rsidR="009730AA" w:rsidRPr="00FC44F3" w:rsidRDefault="009730AA" w:rsidP="00C51119">
            <w:pPr>
              <w:suppressAutoHyphens/>
              <w:spacing w:after="0"/>
              <w:rPr>
                <w:rFonts w:ascii="Arial" w:hAnsi="Arial" w:cs="Arial"/>
                <w:b/>
                <w:sz w:val="20"/>
              </w:rPr>
            </w:pPr>
            <w:r w:rsidRPr="00FC44F3">
              <w:rPr>
                <w:rFonts w:ascii="Arial" w:hAnsi="Arial" w:cs="Arial"/>
                <w:b/>
                <w:smallCaps/>
                <w:sz w:val="20"/>
              </w:rPr>
              <w:t xml:space="preserve">III.  </w:t>
            </w:r>
            <w:r w:rsidRPr="00FC44F3">
              <w:rPr>
                <w:rFonts w:ascii="Arial" w:hAnsi="Arial" w:cs="Arial"/>
                <w:b/>
                <w:sz w:val="20"/>
              </w:rPr>
              <w:t>MARCOS DE ABORDAJE DE LA ECOLOGÍA DEL PAISAJE</w:t>
            </w:r>
          </w:p>
          <w:p w14:paraId="61C59278" w14:textId="32021D16" w:rsidR="009730AA" w:rsidRPr="00FC44F3" w:rsidRDefault="009730AA" w:rsidP="00C51119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b/>
                <w:sz w:val="20"/>
              </w:rPr>
              <w:t>i) Sistemas de clasificación de paisajes</w:t>
            </w:r>
            <w:r w:rsidR="00C51119">
              <w:rPr>
                <w:rFonts w:ascii="Arial" w:hAnsi="Arial" w:cs="Arial"/>
                <w:b/>
                <w:sz w:val="20"/>
              </w:rPr>
              <w:t xml:space="preserve">: </w:t>
            </w:r>
            <w:r w:rsidRPr="00FC44F3">
              <w:rPr>
                <w:rFonts w:ascii="Arial" w:hAnsi="Arial" w:cs="Arial"/>
                <w:sz w:val="20"/>
                <w:lang w:eastAsia="en-GB"/>
              </w:rPr>
              <w:t>Delimitación conceptual y geográfica</w:t>
            </w:r>
            <w:r w:rsidRPr="00FC44F3">
              <w:rPr>
                <w:rFonts w:ascii="Arial" w:hAnsi="Arial" w:cs="Arial"/>
                <w:sz w:val="20"/>
              </w:rPr>
              <w:t>. Diferentes aproximaciones y métodos de análisis del paisaje.  El sistema de clasificación uruguayo. Categorías de la clasificación: sitio, distrito, ecozona, eco-región, provincia.</w:t>
            </w:r>
          </w:p>
          <w:p w14:paraId="5A6751F1" w14:textId="7DE6C653" w:rsidR="00AF4B07" w:rsidRPr="00FC44F3" w:rsidRDefault="009730AA" w:rsidP="00C51119">
            <w:pPr>
              <w:tabs>
                <w:tab w:val="left" w:pos="426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 w:rsidRPr="00FC44F3">
              <w:rPr>
                <w:rFonts w:ascii="Arial" w:hAnsi="Arial" w:cs="Arial"/>
                <w:b/>
                <w:sz w:val="20"/>
              </w:rPr>
              <w:t>j) La dinámica del paisaje y el uso apropiado del ambiente natural</w:t>
            </w:r>
            <w:r w:rsidR="00C51119">
              <w:rPr>
                <w:rFonts w:ascii="Arial" w:hAnsi="Arial" w:cs="Arial"/>
                <w:b/>
                <w:sz w:val="20"/>
              </w:rPr>
              <w:t xml:space="preserve">: </w:t>
            </w:r>
            <w:r w:rsidRPr="00FC44F3">
              <w:rPr>
                <w:rFonts w:ascii="Arial" w:hAnsi="Arial" w:cs="Arial"/>
                <w:sz w:val="20"/>
              </w:rPr>
              <w:t>La actividad humana como agente geomorfológico y pedológico. Formas del relieve, su efecto en la dinámica, utilización del territorio: agroforestería, agricultura, ganadería, urbanización, prevención de desastres naturales de origen antropogénico.</w:t>
            </w:r>
          </w:p>
        </w:tc>
      </w:tr>
    </w:tbl>
    <w:p w14:paraId="1113391A" w14:textId="77777777" w:rsidR="009730AA" w:rsidRDefault="009730AA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4388271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794B5D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F0D9" w14:textId="77777777" w:rsidR="009730AA" w:rsidRPr="00C51119" w:rsidRDefault="009730AA" w:rsidP="00C51119">
            <w:pPr>
              <w:suppressAutoHyphens/>
              <w:spacing w:after="60" w:line="240" w:lineRule="exact"/>
              <w:ind w:left="29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51119">
              <w:rPr>
                <w:rFonts w:ascii="Arial" w:hAnsi="Arial" w:cs="Arial"/>
                <w:sz w:val="20"/>
                <w:szCs w:val="24"/>
                <w:lang w:val="en-US"/>
              </w:rPr>
              <w:t xml:space="preserve">Birkeland PW 1984. </w:t>
            </w:r>
            <w:r w:rsidRPr="00C51119">
              <w:rPr>
                <w:rFonts w:ascii="Arial" w:hAnsi="Arial" w:cs="Arial"/>
                <w:i/>
                <w:sz w:val="20"/>
                <w:szCs w:val="24"/>
                <w:lang w:val="en-US"/>
              </w:rPr>
              <w:t>Soils and Geomorphology</w:t>
            </w:r>
            <w:r w:rsidRPr="00C51119">
              <w:rPr>
                <w:rFonts w:ascii="Arial" w:hAnsi="Arial" w:cs="Arial"/>
                <w:sz w:val="20"/>
                <w:szCs w:val="24"/>
                <w:lang w:val="en-US"/>
              </w:rPr>
              <w:t>. Oxford: University Press.</w:t>
            </w:r>
          </w:p>
          <w:p w14:paraId="0F2A9E42" w14:textId="77777777" w:rsidR="009730AA" w:rsidRPr="00C51119" w:rsidRDefault="009730AA" w:rsidP="00C51119">
            <w:pPr>
              <w:tabs>
                <w:tab w:val="left" w:pos="540"/>
                <w:tab w:val="left" w:pos="8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794B5D">
              <w:rPr>
                <w:rFonts w:ascii="Arial" w:hAnsi="Arial" w:cs="Arial"/>
                <w:sz w:val="20"/>
                <w:szCs w:val="24"/>
                <w:lang w:val="en-GB"/>
              </w:rPr>
              <w:t xml:space="preserve">Carro I, Seijo L, Nagy GJ, Lagos X, Gutiérrez O. 2018. 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 xml:space="preserve">Building capacity on ecosystem-based adaptation strategy to cope with extreme events and sea-level rise on the Uruguayan coast. </w:t>
            </w:r>
            <w:r w:rsidRPr="00C51119">
              <w:rPr>
                <w:rFonts w:ascii="Arial" w:hAnsi="Arial" w:cs="Arial"/>
                <w:i/>
                <w:sz w:val="20"/>
                <w:szCs w:val="24"/>
                <w:lang w:val="en-GB"/>
              </w:rPr>
              <w:t>International Journal of Climate Change Strategies and Management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 xml:space="preserve">. 10:504–522, doi:10.1108/IJCCSM-07-2017-0149. </w:t>
            </w:r>
          </w:p>
          <w:p w14:paraId="71061341" w14:textId="77777777" w:rsidR="009730AA" w:rsidRPr="00C51119" w:rsidRDefault="009730AA" w:rsidP="00C51119">
            <w:pPr>
              <w:tabs>
                <w:tab w:val="left" w:pos="540"/>
                <w:tab w:val="left" w:pos="8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  <w:lang w:val="pt-BR"/>
              </w:rPr>
            </w:pP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 xml:space="preserve">Christofoletti A. 1980. </w:t>
            </w:r>
            <w:r w:rsidRPr="00C51119">
              <w:rPr>
                <w:rFonts w:ascii="Arial" w:hAnsi="Arial" w:cs="Arial"/>
                <w:i/>
                <w:sz w:val="20"/>
                <w:szCs w:val="24"/>
                <w:lang w:val="en-GB"/>
              </w:rPr>
              <w:t>Geomorfologia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 xml:space="preserve">. San Pablo: Edgard Blücher. </w:t>
            </w:r>
            <w:r w:rsidRPr="00C51119">
              <w:rPr>
                <w:rFonts w:ascii="Arial" w:hAnsi="Arial" w:cs="Arial"/>
                <w:sz w:val="20"/>
                <w:szCs w:val="24"/>
                <w:lang w:val="pt-BR"/>
              </w:rPr>
              <w:t xml:space="preserve">190p. </w:t>
            </w:r>
          </w:p>
          <w:p w14:paraId="111D972F" w14:textId="77777777" w:rsidR="009730AA" w:rsidRPr="00C51119" w:rsidRDefault="009730AA" w:rsidP="00C51119">
            <w:pPr>
              <w:tabs>
                <w:tab w:val="left" w:pos="540"/>
                <w:tab w:val="left" w:pos="8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  <w:lang w:val="pt-BR"/>
              </w:rPr>
              <w:t xml:space="preserve">Duarte CM (Coord.), Abanades JC, Agustí S, Alonso S, Benito G, Ciscar JC, Dachs J, Grimalt JO, López I, Montes C, Pardo M, Ríos AF, Simó R, Valladares F. 2009.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Cambio global. Impacto de la actividad humana sobre el sistema Tierra</w:t>
            </w:r>
            <w:r w:rsidRPr="00C51119">
              <w:rPr>
                <w:rFonts w:ascii="Arial" w:hAnsi="Arial" w:cs="Arial"/>
                <w:sz w:val="20"/>
                <w:szCs w:val="24"/>
              </w:rPr>
              <w:t>. Madrid: CSIC - Consejo Superior de Investigaciones Científicas. 251p. (</w:t>
            </w:r>
            <w:r w:rsidRPr="00C51119">
              <w:rPr>
                <w:rFonts w:ascii="Arial" w:hAnsi="Arial" w:cs="Arial"/>
                <w:sz w:val="20"/>
                <w:szCs w:val="24"/>
                <w:lang w:eastAsia="es-UY"/>
              </w:rPr>
              <w:t>Edición ampliada y revisada)</w:t>
            </w:r>
          </w:p>
          <w:p w14:paraId="373D8F36" w14:textId="77777777" w:rsidR="009730AA" w:rsidRPr="00C51119" w:rsidRDefault="009730AA" w:rsidP="00C51119">
            <w:pPr>
              <w:tabs>
                <w:tab w:val="left" w:pos="540"/>
                <w:tab w:val="left" w:pos="8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 xml:space="preserve">Forman RTT, Godron M. 1986. </w:t>
            </w:r>
            <w:r w:rsidRPr="00C51119">
              <w:rPr>
                <w:rFonts w:ascii="Arial" w:hAnsi="Arial" w:cs="Arial"/>
                <w:i/>
                <w:sz w:val="20"/>
                <w:szCs w:val="24"/>
                <w:lang w:val="en-GB"/>
              </w:rPr>
              <w:t>Landscape ecology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 xml:space="preserve">. </w:t>
            </w:r>
            <w:r w:rsidRPr="00C51119">
              <w:rPr>
                <w:rFonts w:ascii="Arial" w:hAnsi="Arial" w:cs="Arial"/>
                <w:sz w:val="20"/>
                <w:szCs w:val="24"/>
                <w:lang w:val="en-US"/>
              </w:rPr>
              <w:t>New Yor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>k: John Wiley ans Sons. 619p.</w:t>
            </w:r>
          </w:p>
          <w:p w14:paraId="4FABD9BE" w14:textId="77777777" w:rsidR="009730AA" w:rsidRPr="00C51119" w:rsidRDefault="009730AA" w:rsidP="00C51119">
            <w:pPr>
              <w:tabs>
                <w:tab w:val="left" w:pos="540"/>
                <w:tab w:val="left" w:pos="8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González Bernáldez F. 1981.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Ecología y paisaje</w:t>
            </w:r>
            <w:r w:rsidRPr="00C51119">
              <w:rPr>
                <w:rFonts w:ascii="Arial" w:hAnsi="Arial" w:cs="Arial"/>
                <w:sz w:val="20"/>
                <w:szCs w:val="24"/>
              </w:rPr>
              <w:t>. Madrid: H. Blume. 249p.</w:t>
            </w:r>
          </w:p>
          <w:p w14:paraId="0ECD20AC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>González del Tánago M, García de Jalón D.</w:t>
            </w:r>
            <w:r w:rsidRPr="00C51119">
              <w:rPr>
                <w:rFonts w:ascii="Arial" w:hAnsi="Arial" w:cs="Arial"/>
                <w:caps/>
                <w:sz w:val="20"/>
                <w:szCs w:val="24"/>
              </w:rPr>
              <w:t xml:space="preserve"> 1998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Restauración de ríos y riberas</w:t>
            </w:r>
            <w:r w:rsidRPr="00C51119">
              <w:rPr>
                <w:rFonts w:ascii="Arial" w:hAnsi="Arial" w:cs="Arial"/>
                <w:sz w:val="20"/>
                <w:szCs w:val="24"/>
              </w:rPr>
              <w:t>. Madrid: Fundación Conde del Valle de Salazar / Ediciones Mundi-Prensa.</w:t>
            </w:r>
            <w:r w:rsidRPr="00C51119">
              <w:rPr>
                <w:rFonts w:ascii="Arial" w:hAnsi="Arial" w:cs="Arial"/>
                <w:bCs/>
                <w:smallCaps/>
                <w:color w:val="000000"/>
                <w:sz w:val="20"/>
                <w:szCs w:val="24"/>
              </w:rPr>
              <w:t xml:space="preserve">  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>262p.</w:t>
            </w:r>
          </w:p>
          <w:p w14:paraId="6E6B275F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bCs/>
                <w:iCs/>
                <w:sz w:val="20"/>
                <w:szCs w:val="24"/>
                <w:lang w:val="en-GB"/>
              </w:rPr>
            </w:pP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lastRenderedPageBreak/>
              <w:t xml:space="preserve">Green DG, Klomp N, Rimmington G, Sadedin S. 2006. </w:t>
            </w:r>
            <w:r w:rsidRPr="00C51119">
              <w:rPr>
                <w:rFonts w:ascii="Arial" w:hAnsi="Arial" w:cs="Arial"/>
                <w:i/>
                <w:sz w:val="20"/>
                <w:szCs w:val="24"/>
                <w:lang w:val="en-GB"/>
              </w:rPr>
              <w:t>Complexity in Landscape Ecology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>. Dordrecht: Springer Netherlands. 208p.</w:t>
            </w:r>
          </w:p>
          <w:p w14:paraId="1FD24CE4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bCs/>
                <w:iCs/>
                <w:sz w:val="20"/>
                <w:szCs w:val="24"/>
                <w:lang w:val="en-GB"/>
              </w:rPr>
            </w:pP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 xml:space="preserve">Gutiérrez O, Panario D, Nagy GJ. 2018. Relationships between the sand cycle and the behaviour of small river mouths: a neglected process. </w:t>
            </w:r>
            <w:r w:rsidRPr="00C51119">
              <w:rPr>
                <w:rFonts w:ascii="Arial" w:hAnsi="Arial" w:cs="Arial"/>
                <w:i/>
                <w:sz w:val="20"/>
                <w:szCs w:val="24"/>
                <w:lang w:val="en-GB"/>
              </w:rPr>
              <w:t>Journal of Sedimentary Environments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>. 3:307–325, doi:10.12957/jse.2018.39307.</w:t>
            </w:r>
            <w:r w:rsidRPr="00C51119">
              <w:rPr>
                <w:rFonts w:ascii="Arial" w:hAnsi="Arial" w:cs="Arial"/>
                <w:bCs/>
                <w:iCs/>
                <w:sz w:val="20"/>
                <w:szCs w:val="24"/>
                <w:lang w:val="en-GB"/>
              </w:rPr>
              <w:t xml:space="preserve"> </w:t>
            </w:r>
          </w:p>
          <w:p w14:paraId="61DC9786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bCs/>
                <w:iCs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 xml:space="preserve">Gutiérrez O, Panario D. 2019. 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Caracterización y dinámica de la costa uruguaya, una revisión.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En: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 P. Muniz, D. Conde, N. Venturini, y E. Brugnoli, eds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. Ciencias Marino-Costeras en el umbral del Siglo XXI, Desafíos en Latinoamérica y el Caribe</w:t>
            </w:r>
            <w:r w:rsidRPr="00C51119">
              <w:rPr>
                <w:rFonts w:ascii="Arial" w:hAnsi="Arial" w:cs="Arial"/>
                <w:sz w:val="20"/>
                <w:szCs w:val="24"/>
              </w:rPr>
              <w:t>. México DF, México: Editorial AGT S.A. pp. 61–91.</w:t>
            </w:r>
            <w:r w:rsidRPr="00C51119">
              <w:rPr>
                <w:rFonts w:ascii="Arial" w:hAnsi="Arial" w:cs="Arial"/>
                <w:bCs/>
                <w:iCs/>
                <w:sz w:val="20"/>
                <w:szCs w:val="24"/>
              </w:rPr>
              <w:t xml:space="preserve"> </w:t>
            </w:r>
          </w:p>
          <w:p w14:paraId="66ADE192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bCs/>
                <w:iCs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Gutiérrez O, Panario D. 2020. Zona costera, buscando respuestas a un futuro incierto.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En: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 M. Dazzini Langdon, y H. Navarrete, eds.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Libro Bosques Azules: Humedales En Riesgo, Una Mirada Latinoamericana</w:t>
            </w:r>
            <w:r w:rsidRPr="00C51119">
              <w:rPr>
                <w:rFonts w:ascii="Arial" w:hAnsi="Arial" w:cs="Arial"/>
                <w:sz w:val="20"/>
                <w:szCs w:val="24"/>
              </w:rPr>
              <w:t>. Quito: Publicaciones PUCE. pp. 52–67.</w:t>
            </w:r>
            <w:r w:rsidRPr="00C51119">
              <w:rPr>
                <w:rFonts w:ascii="Arial" w:hAnsi="Arial" w:cs="Arial"/>
                <w:bCs/>
                <w:iCs/>
                <w:sz w:val="20"/>
                <w:szCs w:val="24"/>
              </w:rPr>
              <w:t xml:space="preserve"> </w:t>
            </w:r>
          </w:p>
          <w:p w14:paraId="37B37B7A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bCs/>
                <w:iCs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Hernández V. NC. 2018. El río y su territorio. Espacio de libertad: un concepto de gestión.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Terra Nueva Etapa</w:t>
            </w:r>
            <w:r w:rsidRPr="00C51119">
              <w:rPr>
                <w:rFonts w:ascii="Arial" w:hAnsi="Arial" w:cs="Arial"/>
                <w:sz w:val="20"/>
                <w:szCs w:val="24"/>
              </w:rPr>
              <w:t>. 34(56): art. 15802. http://saber.ucv.ve/ojs/index.php/rev_terr/article/view/15802.</w:t>
            </w:r>
          </w:p>
          <w:p w14:paraId="7B94BE33" w14:textId="77777777" w:rsidR="009730AA" w:rsidRPr="00C51119" w:rsidRDefault="009730AA" w:rsidP="00C51119">
            <w:pPr>
              <w:tabs>
                <w:tab w:val="left" w:pos="540"/>
                <w:tab w:val="left" w:pos="82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Hooke RL, Martín-Duque JF, Pedraza J. 2012. 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 xml:space="preserve">Land transformation by humans: A review.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GSA Today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. 22:4–10, doi:10.1130/GSAT151A.1. </w:t>
            </w:r>
          </w:p>
          <w:p w14:paraId="1451A44A" w14:textId="77777777" w:rsidR="009730AA" w:rsidRPr="00C51119" w:rsidRDefault="009730AA" w:rsidP="00C51119">
            <w:pPr>
              <w:suppressAutoHyphens/>
              <w:spacing w:after="60" w:line="240" w:lineRule="exact"/>
              <w:ind w:left="29"/>
              <w:rPr>
                <w:rFonts w:ascii="Arial" w:hAnsi="Arial" w:cs="Arial"/>
                <w:b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Kaplan, A. 1990. Manual para la descripción e interpretación del perfil del suelo. Montevideo, Facultad de Agronomía. </w:t>
            </w:r>
          </w:p>
          <w:p w14:paraId="1B1864CE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Morláns C. 2005.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Introducción a la Ecología del paisaje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. Catamarca: Editorial Científica Universitaria, Universidad Nacional de Catamarca. 33p. </w:t>
            </w:r>
          </w:p>
          <w:p w14:paraId="11DFF5FA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Panario D, Gutiérrez O, Achkar M, Bartesaghi L, Ceroni M. 2011.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Clasificación y mapeo de ambientes de Uruguay. Informe técnico</w:t>
            </w:r>
            <w:r w:rsidRPr="00C51119">
              <w:rPr>
                <w:rFonts w:ascii="Arial" w:hAnsi="Arial" w:cs="Arial"/>
                <w:sz w:val="20"/>
                <w:szCs w:val="24"/>
              </w:rPr>
              <w:t>. Montevideo: Convenio MGAP/PPR – Facultad de Ciencias/Vida Silvestre/ Sociedad Zoológica del Uruguay/CIEDUR. 149p. doi:10.13140/2.1.4899.5525149 p.</w:t>
            </w:r>
          </w:p>
          <w:p w14:paraId="57EC21B4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>Panario D, Gutiérrez O, Achkar M, Bartesaghi L, Ceroni M. 2015. Clasificación y mapeo de ambientes de Uruguay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. En: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 A. Brazeiro, ed.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Eco-Regiones de Uruguay: Biodiversidad, Presiones y Conservación Aportes a La Estrategia Nacional de Biodiversidad</w:t>
            </w:r>
            <w:r w:rsidRPr="00C51119">
              <w:rPr>
                <w:rFonts w:ascii="Arial" w:hAnsi="Arial" w:cs="Arial"/>
                <w:sz w:val="20"/>
                <w:szCs w:val="24"/>
              </w:rPr>
              <w:t>. Montevideo, Uruguay: Facultad de Ciencias, CIEDUR, VS-Uruguay, SZU. pp. 32–45.</w:t>
            </w:r>
          </w:p>
          <w:p w14:paraId="18D5E4D6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Panario D, Gutiérrez O. 2006. Dinámica y fuentes de sedimentos de las playas uruguayas.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En: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 R. Menafra, L. Rodríguez-Gallego, F. Scarabino, y D. Conde, eds.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Bases para la Conservación y el Manejo de la Costa Uruguaya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. Montevideo, Uruguay: Vida Silvestre Uruguay. pp. 21–34. </w:t>
            </w:r>
          </w:p>
          <w:p w14:paraId="60B8B58A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Panario D. 2000. Las playas uruguayas. Su dinámica, diagnóstico de situación actual y tendencias a mediano plazo.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En: A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. Domínguez, y R. Prieto, eds.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Perfil ambiental del Uruguay - 2000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. Montevideo, Uruguay: Editorial Nordan-Comunidad. pp. 111–125. </w:t>
            </w:r>
          </w:p>
          <w:p w14:paraId="29195A22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Panario D. 1999. Dinámica de la costa atlántica uruguaya.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En: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 J. Hernández, ed.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Seminario: Costa Atlántica. Estado actual del conocimiento y estrategia de investigación de la costa y sus barras lagunares (Rocha, Marzo de 1997).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 Rocha, Uruguay: PROBIDES. pp. 23–54.</w:t>
            </w:r>
          </w:p>
          <w:p w14:paraId="4CA38C83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Pedraza Gilsanz J de. 1996.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Geomorfología. Principios, Métodos y Aplicaciones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. Madrid: Editorial Rueda. 414 p. </w:t>
            </w:r>
          </w:p>
          <w:p w14:paraId="39526657" w14:textId="77777777" w:rsidR="009730AA" w:rsidRPr="00794B5D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C51119">
              <w:rPr>
                <w:rFonts w:ascii="Arial" w:hAnsi="Arial" w:cs="Arial"/>
                <w:sz w:val="20"/>
                <w:szCs w:val="24"/>
              </w:rPr>
              <w:t xml:space="preserve">Troll C. 2010. Ecología del paisaje. </w:t>
            </w:r>
            <w:r w:rsidRPr="00C51119">
              <w:rPr>
                <w:rFonts w:ascii="Arial" w:hAnsi="Arial" w:cs="Arial"/>
                <w:i/>
                <w:sz w:val="20"/>
                <w:szCs w:val="24"/>
              </w:rPr>
              <w:t>Investigación Ambiental</w:t>
            </w:r>
            <w:r w:rsidRPr="00C51119">
              <w:rPr>
                <w:rFonts w:ascii="Arial" w:hAnsi="Arial" w:cs="Arial"/>
                <w:sz w:val="20"/>
                <w:szCs w:val="24"/>
              </w:rPr>
              <w:t xml:space="preserve">. </w:t>
            </w:r>
            <w:r w:rsidRPr="00794B5D">
              <w:rPr>
                <w:rFonts w:ascii="Arial" w:hAnsi="Arial" w:cs="Arial"/>
                <w:sz w:val="20"/>
                <w:szCs w:val="24"/>
                <w:lang w:val="es-ES"/>
              </w:rPr>
              <w:t>2:94–105.</w:t>
            </w:r>
          </w:p>
          <w:p w14:paraId="292CEEE6" w14:textId="77777777" w:rsidR="009730AA" w:rsidRPr="00C51119" w:rsidRDefault="009730AA" w:rsidP="00C51119">
            <w:pPr>
              <w:suppressAutoHyphens/>
              <w:spacing w:after="60"/>
              <w:ind w:left="29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794B5D">
              <w:rPr>
                <w:rFonts w:ascii="Arial" w:hAnsi="Arial" w:cs="Arial"/>
                <w:sz w:val="20"/>
                <w:szCs w:val="24"/>
                <w:lang w:val="es-ES"/>
              </w:rPr>
              <w:t xml:space="preserve">Trush WJ, McBain SM, Leopold LB. 2000. 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 xml:space="preserve">Attributes of an alluvial river and their relation to water policy and management. </w:t>
            </w:r>
            <w:r w:rsidRPr="00C51119">
              <w:rPr>
                <w:rFonts w:ascii="Arial" w:hAnsi="Arial" w:cs="Arial"/>
                <w:i/>
                <w:sz w:val="20"/>
                <w:szCs w:val="24"/>
                <w:lang w:val="en-GB"/>
              </w:rPr>
              <w:t>Proceedings of the National Academy of Sciences of the United States of America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>. 97:11858–11863, doi:10.1073/pnas.97.22.11858.</w:t>
            </w:r>
          </w:p>
          <w:p w14:paraId="731C8BF9" w14:textId="090DB03A" w:rsidR="00AF4B07" w:rsidRPr="00C51119" w:rsidRDefault="009730AA" w:rsidP="00C51119">
            <w:pPr>
              <w:pStyle w:val="Standard"/>
              <w:spacing w:before="120" w:after="120" w:line="240" w:lineRule="auto"/>
              <w:ind w:left="29"/>
              <w:jc w:val="both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lastRenderedPageBreak/>
              <w:t xml:space="preserve">Turner MG, Gardner RH. 2015. </w:t>
            </w:r>
            <w:r w:rsidRPr="00C51119">
              <w:rPr>
                <w:rFonts w:ascii="Arial" w:hAnsi="Arial" w:cs="Arial"/>
                <w:i/>
                <w:sz w:val="20"/>
                <w:szCs w:val="24"/>
                <w:lang w:val="en-GB"/>
              </w:rPr>
              <w:t>Landscape ecology in theory and practice: Pattern and process.</w:t>
            </w:r>
            <w:r w:rsidRPr="00C51119">
              <w:rPr>
                <w:rFonts w:ascii="Arial" w:hAnsi="Arial" w:cs="Arial"/>
                <w:sz w:val="20"/>
                <w:szCs w:val="24"/>
                <w:lang w:val="en-GB"/>
              </w:rPr>
              <w:t xml:space="preserve"> New York: Springer-Verlag. 482p. doi:10.1007/978-1-4939-2794-4.</w:t>
            </w:r>
          </w:p>
        </w:tc>
      </w:tr>
    </w:tbl>
    <w:p w14:paraId="1D18FAEF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6D9A" w14:textId="6BBC08BD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01FC916E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63CC54" w14:textId="77777777" w:rsidR="00AF4B07" w:rsidRPr="002207DA" w:rsidRDefault="00AF4B07" w:rsidP="00C5111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687953" w14:textId="77777777" w:rsidR="00AF4B07" w:rsidRPr="002207DA" w:rsidRDefault="00AF4B07" w:rsidP="00C51119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 w:rsidP="00C51119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 w:rsidP="00C51119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 w:rsidP="00C51119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 w:rsidP="00C51119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 w:rsidP="00C51119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 w:rsidP="00C51119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C51119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</w:t>
      </w:r>
      <w:r w:rsidRPr="008C09F5">
        <w:rPr>
          <w:rFonts w:ascii="Arial" w:hAnsi="Arial" w:cs="Arial"/>
        </w:rPr>
        <w:lastRenderedPageBreak/>
        <w:t xml:space="preserve">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C51119">
      <w:pPr>
        <w:shd w:val="clear" w:color="auto" w:fill="FFFFFF"/>
        <w:suppressAutoHyphens/>
        <w:jc w:val="both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C51119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8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976A3" w14:textId="77777777" w:rsidR="00DE1577" w:rsidRDefault="00DE1577">
      <w:r>
        <w:separator/>
      </w:r>
    </w:p>
  </w:endnote>
  <w:endnote w:type="continuationSeparator" w:id="0">
    <w:p w14:paraId="63B8DF52" w14:textId="77777777" w:rsidR="00DE1577" w:rsidRDefault="00DE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1FFAB" w14:textId="77777777" w:rsidR="00DE1577" w:rsidRDefault="00DE1577">
      <w:r>
        <w:rPr>
          <w:color w:val="000000"/>
        </w:rPr>
        <w:separator/>
      </w:r>
    </w:p>
  </w:footnote>
  <w:footnote w:type="continuationSeparator" w:id="0">
    <w:p w14:paraId="4DC5F1BE" w14:textId="77777777" w:rsidR="00DE1577" w:rsidRDefault="00DE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0843E0" w:rsidRDefault="00DD3F56">
          <w:pPr>
            <w:pStyle w:val="Standarduser"/>
            <w:jc w:val="center"/>
          </w:pPr>
          <w:r>
            <w:rPr>
              <w:noProof/>
              <w:lang w:val="en-GB" w:eastAsia="en-GB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0843E0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0843E0" w:rsidRDefault="000843E0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0843E0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0843E0" w:rsidRDefault="000843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5D91046"/>
    <w:multiLevelType w:val="hybridMultilevel"/>
    <w:tmpl w:val="DE74A0C0"/>
    <w:lvl w:ilvl="0" w:tplc="112052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UY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07"/>
    <w:rsid w:val="000843E0"/>
    <w:rsid w:val="000C25C3"/>
    <w:rsid w:val="000D1734"/>
    <w:rsid w:val="001B353B"/>
    <w:rsid w:val="002207DA"/>
    <w:rsid w:val="00231343"/>
    <w:rsid w:val="0025098B"/>
    <w:rsid w:val="0036207C"/>
    <w:rsid w:val="003F6717"/>
    <w:rsid w:val="00406AD5"/>
    <w:rsid w:val="004310B8"/>
    <w:rsid w:val="00442DF4"/>
    <w:rsid w:val="004C5662"/>
    <w:rsid w:val="004D3B78"/>
    <w:rsid w:val="00612553"/>
    <w:rsid w:val="006231A5"/>
    <w:rsid w:val="00670F18"/>
    <w:rsid w:val="0069574E"/>
    <w:rsid w:val="006A5875"/>
    <w:rsid w:val="007503DC"/>
    <w:rsid w:val="00794B5D"/>
    <w:rsid w:val="007972C6"/>
    <w:rsid w:val="007D7C43"/>
    <w:rsid w:val="008C09F5"/>
    <w:rsid w:val="008C368E"/>
    <w:rsid w:val="00947DAC"/>
    <w:rsid w:val="009730AA"/>
    <w:rsid w:val="009E16F2"/>
    <w:rsid w:val="00A54977"/>
    <w:rsid w:val="00AA7436"/>
    <w:rsid w:val="00AF4B07"/>
    <w:rsid w:val="00C51119"/>
    <w:rsid w:val="00CC10F8"/>
    <w:rsid w:val="00D8127F"/>
    <w:rsid w:val="00DD3F56"/>
    <w:rsid w:val="00DE1577"/>
    <w:rsid w:val="00DF0B4C"/>
    <w:rsid w:val="00E317BF"/>
    <w:rsid w:val="00E70A6C"/>
    <w:rsid w:val="00F65B06"/>
    <w:rsid w:val="00FC44F3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4F3"/>
  </w:style>
  <w:style w:type="paragraph" w:styleId="Ttulo1">
    <w:name w:val="heading 1"/>
    <w:basedOn w:val="Normal"/>
    <w:next w:val="Normal"/>
    <w:link w:val="Ttulo1Car"/>
    <w:uiPriority w:val="9"/>
    <w:qFormat/>
    <w:rsid w:val="00FC44F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44F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44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4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4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44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44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44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44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FC44F3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uiPriority w:val="34"/>
    <w:qFormat/>
    <w:pPr>
      <w:suppressAutoHyphens w:val="0"/>
      <w:spacing w:line="259" w:lineRule="auto"/>
      <w:ind w:left="720"/>
      <w:contextualSpacing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6A5875"/>
    <w:rPr>
      <w:color w:val="0563C1" w:themeColor="hyperlink"/>
      <w:u w:val="single"/>
    </w:rPr>
  </w:style>
  <w:style w:type="character" w:customStyle="1" w:styleId="WW8Num1z0">
    <w:name w:val="WW8Num1z0"/>
    <w:rsid w:val="006A5875"/>
  </w:style>
  <w:style w:type="paragraph" w:customStyle="1" w:styleId="Default">
    <w:name w:val="Default"/>
    <w:rsid w:val="006A5875"/>
    <w:pPr>
      <w:autoSpaceDE w:val="0"/>
      <w:adjustRightInd w:val="0"/>
    </w:pPr>
    <w:rPr>
      <w:rFonts w:eastAsia="Times New Roman" w:cs="Calibri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C44F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4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44F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44F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44F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44F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44F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44F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44F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Puesto">
    <w:name w:val="Title"/>
    <w:basedOn w:val="Normal"/>
    <w:next w:val="Normal"/>
    <w:link w:val="PuestoCar"/>
    <w:uiPriority w:val="10"/>
    <w:qFormat/>
    <w:rsid w:val="00FC44F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FC44F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44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44F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C44F3"/>
    <w:rPr>
      <w:b/>
      <w:bCs/>
    </w:rPr>
  </w:style>
  <w:style w:type="character" w:styleId="nfasis">
    <w:name w:val="Emphasis"/>
    <w:basedOn w:val="Fuentedeprrafopredeter"/>
    <w:uiPriority w:val="20"/>
    <w:qFormat/>
    <w:rsid w:val="00FC44F3"/>
    <w:rPr>
      <w:i/>
      <w:iCs/>
    </w:rPr>
  </w:style>
  <w:style w:type="paragraph" w:styleId="Sinespaciado">
    <w:name w:val="No Spacing"/>
    <w:uiPriority w:val="1"/>
    <w:qFormat/>
    <w:rsid w:val="00FC44F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C44F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C44F3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44F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44F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C44F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C44F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C44F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C44F3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C44F3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44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FC0C-270E-4B65-BA8F-BCD094EE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8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Authors</cp:lastModifiedBy>
  <cp:revision>17</cp:revision>
  <cp:lastPrinted>2023-04-25T15:05:00Z</cp:lastPrinted>
  <dcterms:created xsi:type="dcterms:W3CDTF">2023-05-29T15:25:00Z</dcterms:created>
  <dcterms:modified xsi:type="dcterms:W3CDTF">2024-12-08T20:28:00Z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7th edition</vt:lpwstr>
  </property>
  <property fmtid="{D5CDD505-2E9C-101B-9397-08002B2CF9AE}" pid="10" name="Mendeley Recent Style Id 1_1">
    <vt:lpwstr>http://www.zotero.org/styles/apa-no-ampersand</vt:lpwstr>
  </property>
  <property fmtid="{D5CDD505-2E9C-101B-9397-08002B2CF9AE}" pid="11" name="Mendeley Recent Style Name 1_1">
    <vt:lpwstr>American Psychological Association 7th edition (no ampersand)</vt:lpwstr>
  </property>
  <property fmtid="{D5CDD505-2E9C-101B-9397-08002B2CF9AE}" pid="12" name="Mendeley Recent Style Id 2_1">
    <vt:lpwstr>http://www.zotero.org/styles/ecosistemas</vt:lpwstr>
  </property>
  <property fmtid="{D5CDD505-2E9C-101B-9397-08002B2CF9AE}" pid="13" name="Mendeley Recent Style Name 2_1">
    <vt:lpwstr>Ecosistemas (Español)</vt:lpwstr>
  </property>
  <property fmtid="{D5CDD505-2E9C-101B-9397-08002B2CF9AE}" pid="14" name="Mendeley Recent Style Id 3_1">
    <vt:lpwstr>http://www.zotero.org/styles/elsevier-with-titles-alphabetical</vt:lpwstr>
  </property>
  <property fmtid="{D5CDD505-2E9C-101B-9397-08002B2CF9AE}" pid="15" name="Mendeley Recent Style Name 3_1">
    <vt:lpwstr>Elsevier (numeric, with titles, sorted alphabetically)</vt:lpwstr>
  </property>
  <property fmtid="{D5CDD505-2E9C-101B-9397-08002B2CF9AE}" pid="16" name="Mendeley Recent Style Id 4_1">
    <vt:lpwstr>http://www.zotero.org/styles/elsevier-harvard2</vt:lpwstr>
  </property>
  <property fmtid="{D5CDD505-2E9C-101B-9397-08002B2CF9AE}" pid="17" name="Mendeley Recent Style Name 4_1">
    <vt:lpwstr>Elsevier - Harvard 2</vt:lpwstr>
  </property>
  <property fmtid="{D5CDD505-2E9C-101B-9397-08002B2CF9AE}" pid="18" name="Mendeley Recent Style Id 5_1">
    <vt:lpwstr>http://www.zotero.org/styles/environmental-processes</vt:lpwstr>
  </property>
  <property fmtid="{D5CDD505-2E9C-101B-9397-08002B2CF9AE}" pid="19" name="Mendeley Recent Style Name 5_1">
    <vt:lpwstr>Environmental Processes</vt:lpwstr>
  </property>
  <property fmtid="{D5CDD505-2E9C-101B-9397-08002B2CF9AE}" pid="20" name="Mendeley Recent Style Id 6_1">
    <vt:lpwstr>http://www.zotero.org/styles/instituto-brasileiro-de-informacao-em-ciencia-e-tecnologia-abnt</vt:lpwstr>
  </property>
  <property fmtid="{D5CDD505-2E9C-101B-9397-08002B2CF9AE}" pid="21" name="Mendeley Recent Style Name 6_1">
    <vt:lpwstr>Instituto Brasileiro de Informação em Ciência e Tecnologia - ABNT (autoria completa)</vt:lpwstr>
  </property>
  <property fmtid="{D5CDD505-2E9C-101B-9397-08002B2CF9AE}" pid="22" name="Mendeley Recent Style Id 7_1">
    <vt:lpwstr>http://www.zotero.org/styles/mycologia</vt:lpwstr>
  </property>
  <property fmtid="{D5CDD505-2E9C-101B-9397-08002B2CF9AE}" pid="23" name="Mendeley Recent Style Name 7_1">
    <vt:lpwstr>Mycologia</vt:lpwstr>
  </property>
  <property fmtid="{D5CDD505-2E9C-101B-9397-08002B2CF9AE}" pid="24" name="Mendeley Recent Style Id 8_1">
    <vt:lpwstr>http://www.zotero.org/styles/ocean-and-coastal-management</vt:lpwstr>
  </property>
  <property fmtid="{D5CDD505-2E9C-101B-9397-08002B2CF9AE}" pid="25" name="Mendeley Recent Style Name 8_1">
    <vt:lpwstr>Ocean and Coastal Management</vt:lpwstr>
  </property>
  <property fmtid="{D5CDD505-2E9C-101B-9397-08002B2CF9AE}" pid="26" name="Mendeley Recent Style Id 9_1">
    <vt:lpwstr>http://www.zotero.org/styles/associacao-brasileira-de-normas-tecnicas-ufrgs</vt:lpwstr>
  </property>
  <property fmtid="{D5CDD505-2E9C-101B-9397-08002B2CF9AE}" pid="27" name="Mendeley Recent Style Name 9_1">
    <vt:lpwstr>Universidade Federal do Rio Grande do Sul - ABNT (autoria completa) (Português - Brasil)</vt:lpwstr>
  </property>
</Properties>
</file>