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FEBB2B" w14:textId="77777777" w:rsidR="00AF4B07" w:rsidRPr="002207DA" w:rsidRDefault="00DD3F56">
      <w:pPr>
        <w:pStyle w:val="Standarduser"/>
        <w:spacing w:before="120" w:after="120"/>
        <w:ind w:left="60"/>
        <w:jc w:val="center"/>
        <w:rPr>
          <w:b/>
          <w:color w:val="0000FF"/>
          <w:sz w:val="22"/>
          <w:szCs w:val="22"/>
        </w:rPr>
      </w:pPr>
      <w:r w:rsidRPr="002207DA">
        <w:rPr>
          <w:b/>
          <w:color w:val="0000FF"/>
          <w:sz w:val="22"/>
          <w:szCs w:val="22"/>
        </w:rPr>
        <w:t>AREA GEOCIENCIAS</w:t>
      </w:r>
    </w:p>
    <w:p w14:paraId="605F3FC7" w14:textId="77777777" w:rsidR="00AF4B07" w:rsidRPr="002207DA" w:rsidRDefault="00DD3F56">
      <w:pPr>
        <w:pStyle w:val="Standarduser"/>
        <w:spacing w:before="120" w:after="120"/>
        <w:jc w:val="center"/>
      </w:pPr>
      <w:r w:rsidRPr="002207DA">
        <w:rPr>
          <w:b/>
          <w:sz w:val="22"/>
          <w:szCs w:val="22"/>
        </w:rPr>
        <w:t>FORMULARIO PARA PRESENTACIÓN DE CURSOS DE POSGRADO</w:t>
      </w:r>
    </w:p>
    <w:p w14:paraId="411EA982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5059AF8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FECHA DE PRESENTACIÓN:</w:t>
      </w:r>
    </w:p>
    <w:tbl>
      <w:tblPr>
        <w:tblW w:w="31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</w:tblGrid>
      <w:tr w:rsidR="00AF4B07" w:rsidRPr="002207DA" w14:paraId="158CDEA4" w14:textId="77777777" w:rsidTr="000D1734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EA216" w14:textId="145AC666" w:rsidR="00AF4B07" w:rsidRPr="00882F09" w:rsidRDefault="0017529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</w:t>
            </w:r>
            <w:r w:rsidR="00874534">
              <w:rPr>
                <w:rFonts w:ascii="Arial" w:hAnsi="Arial" w:cs="Arial"/>
                <w:bCs/>
              </w:rPr>
              <w:t>9</w:t>
            </w:r>
            <w:r w:rsidR="00882F09" w:rsidRPr="00882F09">
              <w:rPr>
                <w:rFonts w:ascii="Arial" w:hAnsi="Arial" w:cs="Arial"/>
                <w:bCs/>
              </w:rPr>
              <w:t>/11/202</w:t>
            </w:r>
            <w:r>
              <w:rPr>
                <w:rFonts w:ascii="Arial" w:hAnsi="Arial" w:cs="Arial"/>
                <w:bCs/>
              </w:rPr>
              <w:t>4</w:t>
            </w:r>
          </w:p>
        </w:tc>
      </w:tr>
    </w:tbl>
    <w:p w14:paraId="0F7B6E8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1) DATOS SOBRE EL CURSO</w:t>
      </w:r>
    </w:p>
    <w:p w14:paraId="0D4CD8F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1.1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completo: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B9571A5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B2E20" w14:textId="7EB5453B" w:rsidR="00AF4B07" w:rsidRPr="002207DA" w:rsidRDefault="00BE1A24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BE1A24">
              <w:rPr>
                <w:rFonts w:ascii="Arial" w:hAnsi="Arial" w:cs="Arial"/>
              </w:rPr>
              <w:t>Microscopía óptica de reflexión: principales menas metalíferas y su aplicación en la metalogénesis.</w:t>
            </w:r>
          </w:p>
        </w:tc>
      </w:tr>
    </w:tbl>
    <w:p w14:paraId="7F358F9E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1.2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Nombre abreviado (</w:t>
      </w:r>
      <w:proofErr w:type="spellStart"/>
      <w:r w:rsidRPr="002207DA">
        <w:rPr>
          <w:rFonts w:ascii="Arial" w:hAnsi="Arial" w:cs="Arial"/>
        </w:rPr>
        <w:t>máx</w:t>
      </w:r>
      <w:proofErr w:type="spellEnd"/>
      <w:r w:rsidRPr="002207DA">
        <w:rPr>
          <w:rFonts w:ascii="Arial" w:hAnsi="Arial" w:cs="Arial"/>
        </w:rPr>
        <w:t xml:space="preserve"> 20 caracteres, para Bedelía):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06DEB90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3A7F2" w14:textId="2C55F27B" w:rsidR="005C41B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bookmarkStart w:id="0" w:name="_Hlk183613295"/>
            <w:r w:rsidRPr="00A976CC">
              <w:rPr>
                <w:rFonts w:ascii="Arial" w:hAnsi="Arial" w:cs="Arial"/>
              </w:rPr>
              <w:t>Menas y metalogénesis</w:t>
            </w:r>
          </w:p>
        </w:tc>
      </w:tr>
    </w:tbl>
    <w:bookmarkEnd w:id="0"/>
    <w:p w14:paraId="296CC0F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1.3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Cupo de estudiantes (si corresponde):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3D724C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2CC5F" w14:textId="659198C9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</w:tr>
    </w:tbl>
    <w:p w14:paraId="7FAB2FC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1.4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Fecha</w:t>
      </w:r>
      <w:r w:rsidR="002207DA" w:rsidRPr="002207DA">
        <w:rPr>
          <w:rFonts w:ascii="Arial" w:hAnsi="Arial" w:cs="Arial"/>
        </w:rPr>
        <w:t>s previstas para la realización:</w:t>
      </w:r>
    </w:p>
    <w:tbl>
      <w:tblPr>
        <w:tblW w:w="510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0"/>
        <w:gridCol w:w="2042"/>
      </w:tblGrid>
      <w:tr w:rsidR="00AF4B07" w:rsidRPr="002207DA" w14:paraId="60CE5A62" w14:textId="77777777"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54A95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inicio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F0D2A7" w14:textId="3A1E2BD3" w:rsidR="00AF4B07" w:rsidRPr="002207DA" w:rsidRDefault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5C41B7">
              <w:rPr>
                <w:rFonts w:ascii="Arial" w:hAnsi="Arial" w:cs="Arial"/>
              </w:rPr>
              <w:t>/</w:t>
            </w:r>
            <w:r w:rsidR="0010598C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  <w:r w:rsidR="005C41B7">
              <w:rPr>
                <w:rFonts w:ascii="Arial" w:hAnsi="Arial" w:cs="Arial"/>
              </w:rPr>
              <w:t>/202</w:t>
            </w:r>
            <w:r w:rsidR="00EA0830">
              <w:rPr>
                <w:rFonts w:ascii="Arial" w:hAnsi="Arial" w:cs="Arial"/>
              </w:rPr>
              <w:t>5</w:t>
            </w:r>
          </w:p>
        </w:tc>
      </w:tr>
      <w:tr w:rsidR="00AF4B07" w:rsidRPr="002207DA" w14:paraId="0498A57E" w14:textId="77777777">
        <w:tc>
          <w:tcPr>
            <w:tcW w:w="306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E5C68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Fecha Finalización</w:t>
            </w:r>
            <w:r w:rsidRPr="002207DA">
              <w:rPr>
                <w:rFonts w:ascii="Arial" w:hAnsi="Arial" w:cs="Arial"/>
              </w:rPr>
              <w:t xml:space="preserve"> 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2207DA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2207DA">
              <w:rPr>
                <w:rFonts w:ascii="Arial" w:hAnsi="Arial" w:cs="Arial"/>
                <w:sz w:val="20"/>
                <w:szCs w:val="20"/>
              </w:rPr>
              <w:t>aa</w:t>
            </w:r>
            <w:proofErr w:type="spellEnd"/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DBF6D3" w14:textId="0B316533" w:rsidR="00AF4B07" w:rsidRPr="002207DA" w:rsidRDefault="0010598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5C41B7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>06</w:t>
            </w:r>
            <w:r w:rsidR="005C41B7">
              <w:rPr>
                <w:rFonts w:ascii="Arial" w:hAnsi="Arial" w:cs="Arial"/>
              </w:rPr>
              <w:t>/202</w:t>
            </w:r>
            <w:r>
              <w:rPr>
                <w:rFonts w:ascii="Arial" w:hAnsi="Arial" w:cs="Arial"/>
              </w:rPr>
              <w:t>5</w:t>
            </w:r>
          </w:p>
        </w:tc>
      </w:tr>
    </w:tbl>
    <w:p w14:paraId="6F118606" w14:textId="77777777" w:rsidR="00AF4B07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1.5</w:t>
      </w:r>
      <w:r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Horario (tentativo):</w:t>
      </w:r>
    </w:p>
    <w:p w14:paraId="6C9F03EE" w14:textId="7F0C8797" w:rsidR="001A3345" w:rsidRPr="002207DA" w:rsidRDefault="001A334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Semana del 16 al 20/06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AF4B07" w:rsidRPr="002207DA" w14:paraId="659F296C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4F775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A0F788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44CA1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0A8CBC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C5C5BD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3FBB67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52CCB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944170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A976CC" w:rsidRPr="002207DA" w14:paraId="53E9B521" w14:textId="77777777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04F5DE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591320" w14:textId="30CB2EB9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3F856C" w14:textId="3732BEB6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EE4F0F" w14:textId="26DE3F65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5BCF95" w14:textId="2EF923C6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C377EDD" w14:textId="505E1477" w:rsidR="00A976CC" w:rsidRPr="002207DA" w:rsidRDefault="001A3345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5B1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0AC851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B391B6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A976CC" w:rsidRPr="002207DA" w14:paraId="07D8B87F" w14:textId="77777777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7D68DCD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0AD102" w14:textId="2E1D6CA8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30103E7" w14:textId="6B1C0CA1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8FFAE61" w14:textId="469C0942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D183A6" w14:textId="2154A072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B44AED" w14:textId="7C835A36" w:rsidR="00A976CC" w:rsidRPr="002207DA" w:rsidRDefault="001A3345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15B1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AB34D9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173F00" w14:textId="77777777" w:rsidR="00A976CC" w:rsidRPr="002207DA" w:rsidRDefault="00A976CC" w:rsidP="00A976CC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7F1DC4F" w14:textId="717C6787" w:rsidR="001A3345" w:rsidRPr="002207DA" w:rsidRDefault="001A3345" w:rsidP="001A334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Semana del 23 al 27/06</w:t>
      </w:r>
    </w:p>
    <w:tbl>
      <w:tblPr>
        <w:tblW w:w="849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0"/>
        <w:gridCol w:w="995"/>
        <w:gridCol w:w="995"/>
        <w:gridCol w:w="995"/>
        <w:gridCol w:w="995"/>
        <w:gridCol w:w="995"/>
        <w:gridCol w:w="995"/>
        <w:gridCol w:w="995"/>
      </w:tblGrid>
      <w:tr w:rsidR="001A3345" w:rsidRPr="002207DA" w14:paraId="40E940D8" w14:textId="77777777" w:rsidTr="00F568F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9DA947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  <w:b/>
                <w:bCs/>
              </w:rPr>
              <w:t>Horarios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3D5D2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Lu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9DEA8A4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F85CC4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Mi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0BA618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Ju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EFA6DC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Vi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E10BFB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Sa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5956FA8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2207DA">
              <w:rPr>
                <w:rFonts w:ascii="Arial" w:hAnsi="Arial" w:cs="Arial"/>
                <w:b/>
                <w:bCs/>
              </w:rPr>
              <w:t>Do</w:t>
            </w:r>
          </w:p>
        </w:tc>
      </w:tr>
      <w:tr w:rsidR="001A3345" w:rsidRPr="002207DA" w14:paraId="0F819785" w14:textId="77777777" w:rsidTr="00F568FA"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697CE1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Inicio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CE8987C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2E913C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66982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8AA1B5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6A4B6F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DCC161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F3A159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1A3345" w:rsidRPr="002207DA" w14:paraId="62042DC4" w14:textId="77777777" w:rsidTr="00F568FA">
        <w:tc>
          <w:tcPr>
            <w:tcW w:w="1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9E8807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Fin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D57605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1D72DD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5CC41FB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0C0EC8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19FC4E8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17:00</w:t>
            </w: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51BF3E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226187" w14:textId="77777777" w:rsidR="001A3345" w:rsidRPr="002207DA" w:rsidRDefault="001A3345" w:rsidP="00F568FA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32E77917" w14:textId="77777777" w:rsidR="000D1734" w:rsidRDefault="000D17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6660D35" w14:textId="77777777" w:rsidR="001A3345" w:rsidRDefault="001A334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202A9D48" w14:textId="78676DAD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1.</w:t>
      </w:r>
      <w:r w:rsidR="002207DA" w:rsidRPr="002207DA">
        <w:rPr>
          <w:rFonts w:ascii="Arial" w:hAnsi="Arial" w:cs="Arial"/>
        </w:rPr>
        <w:t>6</w:t>
      </w:r>
      <w:r w:rsidR="002207DA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Detalles de carga horaria (horas):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7"/>
        <w:gridCol w:w="3537"/>
      </w:tblGrid>
      <w:tr w:rsidR="00AF4B07" w:rsidRPr="002207DA" w14:paraId="6A302FD2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08F07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total del curso.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BB80A" w14:textId="72A8B381" w:rsidR="00AF4B0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="00415B1D">
              <w:rPr>
                <w:rFonts w:ascii="Arial" w:hAnsi="Arial" w:cs="Arial"/>
              </w:rPr>
              <w:t>2</w:t>
            </w:r>
          </w:p>
        </w:tc>
      </w:tr>
      <w:tr w:rsidR="00AF4B07" w:rsidRPr="002207DA" w14:paraId="39F0D681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78379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teóricas.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BA049" w14:textId="0B890F8D" w:rsidR="00AF4B0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194FB707" w14:textId="77777777"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1DF5D" w14:textId="17875228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- Carga horaria de clases prácticas (incluir</w:t>
            </w:r>
            <w:r w:rsidR="000D1734">
              <w:rPr>
                <w:rFonts w:ascii="Arial" w:hAnsi="Arial" w:cs="Arial"/>
              </w:rPr>
              <w:t xml:space="preserve"> salidas de campo, seminarios, presentaciones de trabajos, talleres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2DE15" w14:textId="4DC82787" w:rsidR="00AF4B0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  <w:p w14:paraId="3ECEA9AA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811AE4" w14:textId="5A7B3202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 xml:space="preserve">Nota: En el </w:t>
      </w:r>
      <w:r w:rsidRPr="002207DA">
        <w:rPr>
          <w:rFonts w:ascii="Arial" w:hAnsi="Arial" w:cs="Arial"/>
          <w:b/>
        </w:rPr>
        <w:t>ANEXO</w:t>
      </w:r>
      <w:r w:rsidRPr="002207DA">
        <w:rPr>
          <w:rFonts w:ascii="Arial" w:hAnsi="Arial" w:cs="Arial"/>
        </w:rPr>
        <w:t xml:space="preserve"> se detallan los criterios para el cálculo de créditos para cursos</w:t>
      </w:r>
      <w:r w:rsidR="00231343">
        <w:rPr>
          <w:rFonts w:ascii="Arial" w:hAnsi="Arial" w:cs="Arial"/>
        </w:rPr>
        <w:t>.</w:t>
      </w:r>
      <w:r w:rsidRPr="002207DA">
        <w:rPr>
          <w:rFonts w:ascii="Arial" w:hAnsi="Arial" w:cs="Arial"/>
        </w:rPr>
        <w:t xml:space="preserve"> </w:t>
      </w:r>
    </w:p>
    <w:p w14:paraId="60F18966" w14:textId="751D28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7.</w:t>
      </w:r>
      <w:r w:rsidRPr="002207DA">
        <w:rPr>
          <w:rFonts w:ascii="Arial" w:hAnsi="Arial" w:cs="Arial"/>
        </w:rPr>
        <w:t xml:space="preserve"> Actividades a realizar (marcar con una cruz el casillero y especificar cantidad de horas).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72"/>
        <w:gridCol w:w="709"/>
        <w:gridCol w:w="2125"/>
        <w:gridCol w:w="2688"/>
      </w:tblGrid>
      <w:tr w:rsidR="00AF4B07" w:rsidRPr="002207DA" w14:paraId="3723BC00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0EF7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Clases expositivas teóricas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F60CD" w14:textId="73E9AA5C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177A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74F8E" w14:textId="5EF14D69" w:rsidR="00AF4B07" w:rsidRPr="002207DA" w:rsidRDefault="00415B1D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</w:tr>
      <w:tr w:rsidR="00AF4B07" w:rsidRPr="002207DA" w14:paraId="04AAE04F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0156D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campo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2F71A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E67B3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5D3444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685D3776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BF4BE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Talleres de discusión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8DFCA" w14:textId="526609D6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5C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2311" w14:textId="3295ED46" w:rsidR="00AF4B07" w:rsidRPr="002207DA" w:rsidRDefault="00A976C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F4B07" w:rsidRPr="002207DA" w14:paraId="6E9903AE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5A67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Seminarios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04C6B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08441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4E943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AF4B07" w:rsidRPr="002207DA" w14:paraId="29C04A1C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F143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de laboratorio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281C89" w14:textId="022B24E6" w:rsidR="00AF4B07" w:rsidRPr="002207DA" w:rsidRDefault="005C41B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B8C69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66D6A" w14:textId="4F318F23" w:rsidR="00AF4B07" w:rsidRPr="002207DA" w:rsidRDefault="00A976CC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</w:tr>
      <w:tr w:rsidR="00AF4B07" w:rsidRPr="002207DA" w14:paraId="72AB2081" w14:textId="77777777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7DC67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Actividades no presenciales (solo cursos intensivos)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F3927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06FEB" w14:textId="77777777" w:rsidR="00AF4B07" w:rsidRPr="002207DA" w:rsidRDefault="00DD3F56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Cantidad de horas: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129A02" w14:textId="77777777" w:rsidR="00AF4B07" w:rsidRPr="002207DA" w:rsidRDefault="00AF4B07">
            <w:pPr>
              <w:pStyle w:val="Standard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</w:tbl>
    <w:p w14:paraId="01A4BC23" w14:textId="514AC71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="002207DA">
        <w:rPr>
          <w:rFonts w:ascii="Arial" w:hAnsi="Arial" w:cs="Arial"/>
        </w:rPr>
        <w:t>8</w:t>
      </w:r>
      <w:r w:rsidRPr="002207DA">
        <w:rPr>
          <w:rFonts w:ascii="Arial" w:hAnsi="Arial" w:cs="Arial"/>
        </w:rPr>
        <w:t>. Evaluación</w:t>
      </w:r>
    </w:p>
    <w:p w14:paraId="27D233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Los cursos se aprobarán con una evaluación final individual en la que el estudiante deberá alcanzar como mínimo una calificación correspondiente al 65% (sesenta y cinco por ciento) del puntaje máximo (nota 6 –seis- de acuerdo a la escala de la UdelaR).</w:t>
      </w:r>
    </w:p>
    <w:p w14:paraId="461EE13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evaluación del curso será mediante (marque con una cruz):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3"/>
        <w:gridCol w:w="2410"/>
        <w:gridCol w:w="5246"/>
      </w:tblGrid>
      <w:tr w:rsidR="00AF4B07" w:rsidRPr="002207DA" w14:paraId="43C2986E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1EED4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40AE4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escrito</w:t>
            </w:r>
          </w:p>
        </w:tc>
      </w:tr>
      <w:tr w:rsidR="00AF4B07" w:rsidRPr="002207DA" w14:paraId="2B7D8E6A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E985E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656" w:type="dxa"/>
            <w:gridSpan w:val="2"/>
            <w:tcBorders>
              <w:lef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0810EA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Examen oral</w:t>
            </w:r>
          </w:p>
        </w:tc>
      </w:tr>
      <w:tr w:rsidR="00AF4B07" w:rsidRPr="002207DA" w14:paraId="72B0A198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D5533" w14:textId="2EB12644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656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A2D18" w14:textId="77777777" w:rsidR="00AF4B07" w:rsidRPr="002207DA" w:rsidRDefault="00DD3F56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Trabajo escrito/proyecto</w:t>
            </w:r>
          </w:p>
        </w:tc>
      </w:tr>
      <w:tr w:rsidR="00AF4B07" w:rsidRPr="002207DA" w14:paraId="111BF921" w14:textId="77777777"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4470B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66775" w14:textId="77777777" w:rsidR="00AF4B07" w:rsidRPr="002207DA" w:rsidRDefault="00DD3F56">
            <w:pPr>
              <w:pStyle w:val="Standard"/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 w:rsidRPr="002207DA">
              <w:rPr>
                <w:rFonts w:ascii="Arial" w:hAnsi="Arial" w:cs="Arial"/>
              </w:rPr>
              <w:t>Otro tipo (especificar):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D42F01" w14:textId="7777777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79313091" w14:textId="701EA2B4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1.9</w:t>
      </w:r>
      <w:r w:rsidR="00DD3F56" w:rsidRPr="002207DA">
        <w:rPr>
          <w:rFonts w:ascii="Arial" w:hAnsi="Arial" w:cs="Arial"/>
        </w:rPr>
        <w:t>. Especifique si el curso admite a estudiantes de grado y de otras carreras de posgrado: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1D803B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93520" w14:textId="4C345C4D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Admite estudiantes de grado</w:t>
            </w:r>
          </w:p>
        </w:tc>
      </w:tr>
    </w:tbl>
    <w:p w14:paraId="4B47F4D9" w14:textId="0E28E565" w:rsidR="00874534" w:rsidRDefault="008745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7E188811" w14:textId="77777777" w:rsidR="00874534" w:rsidRDefault="00874534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17124278" w14:textId="22890885" w:rsidR="00AF4B07" w:rsidRPr="002207DA" w:rsidRDefault="002207DA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1.10</w:t>
      </w:r>
      <w:r w:rsidR="00DD3F56" w:rsidRPr="002207DA">
        <w:rPr>
          <w:rFonts w:ascii="Arial" w:hAnsi="Arial" w:cs="Arial"/>
        </w:rPr>
        <w:t>. Indicar modalidad de dictado (virtual/presencial/mixta):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C8E301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CACAB" w14:textId="11B46AEE" w:rsidR="00AF4B07" w:rsidRPr="002207DA" w:rsidRDefault="005C41B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Presencial</w:t>
            </w:r>
          </w:p>
        </w:tc>
      </w:tr>
    </w:tbl>
    <w:p w14:paraId="0727A2B0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2) DATOS SOBRE EL/LOS COORDINADOR/ES Y DOCENTES PARTICIPANTES DEL CURSO</w:t>
      </w:r>
    </w:p>
    <w:p w14:paraId="05263E2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2.1 Coordinador/es del curso (nombre y correo electrónico de contacto):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65970630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C326B" w14:textId="4E4F869C" w:rsidR="00AF4B07" w:rsidRPr="002207DA" w:rsidRDefault="00EA0830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Manuela Morales Demarco (</w:t>
            </w:r>
            <w:hyperlink r:id="rId7" w:history="1">
              <w:r w:rsidRPr="006750C6">
                <w:rPr>
                  <w:rStyle w:val="Hipervnculo"/>
                  <w:rFonts w:ascii="Arial" w:hAnsi="Arial" w:cs="Arial"/>
                </w:rPr>
                <w:t>mmorales@fcien.edu.uy</w:t>
              </w:r>
            </w:hyperlink>
            <w:r>
              <w:rPr>
                <w:rFonts w:ascii="Arial" w:hAnsi="Arial" w:cs="Arial"/>
              </w:rPr>
              <w:t xml:space="preserve">) y </w:t>
            </w:r>
            <w:r w:rsidR="005C41B7">
              <w:rPr>
                <w:rFonts w:ascii="Arial" w:hAnsi="Arial" w:cs="Arial"/>
              </w:rPr>
              <w:t>Pedro Oyhantçabal</w:t>
            </w:r>
            <w:r w:rsidR="00181026">
              <w:rPr>
                <w:rFonts w:ascii="Arial" w:hAnsi="Arial" w:cs="Arial"/>
              </w:rPr>
              <w:t xml:space="preserve"> (</w:t>
            </w:r>
            <w:hyperlink r:id="rId8" w:history="1">
              <w:r w:rsidR="00181026" w:rsidRPr="00E23555">
                <w:rPr>
                  <w:rStyle w:val="Hipervnculo"/>
                  <w:rFonts w:ascii="Arial" w:hAnsi="Arial" w:cs="Arial"/>
                </w:rPr>
                <w:t>oyhantca@fcien.edu.uy</w:t>
              </w:r>
            </w:hyperlink>
            <w:r w:rsidR="00181026">
              <w:rPr>
                <w:rFonts w:ascii="Arial" w:hAnsi="Arial" w:cs="Arial"/>
              </w:rPr>
              <w:t>)</w:t>
            </w:r>
          </w:p>
        </w:tc>
      </w:tr>
    </w:tbl>
    <w:p w14:paraId="6DD55F0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2.2 Docentes participantes (PEDECIBA):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372169A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BE949" w14:textId="6458FCE7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17DF77ED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2.3 Docentes participantes invitados (no PEDECIBA, adjuntar CV):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70078F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786A" w14:textId="3212D339" w:rsidR="00AF4B07" w:rsidRPr="002207DA" w:rsidRDefault="00BE1A24" w:rsidP="00BE1A24">
            <w:pPr>
              <w:pStyle w:val="Standard"/>
              <w:tabs>
                <w:tab w:val="left" w:pos="1636"/>
              </w:tabs>
              <w:spacing w:before="120" w:after="12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Dra. </w:t>
            </w:r>
            <w:r w:rsidRPr="00BE1A24">
              <w:rPr>
                <w:rFonts w:ascii="Arial" w:hAnsi="Arial" w:cs="Arial"/>
              </w:rPr>
              <w:t xml:space="preserve">Natalia </w:t>
            </w:r>
            <w:proofErr w:type="spellStart"/>
            <w:r w:rsidRPr="00BE1A24">
              <w:rPr>
                <w:rFonts w:ascii="Arial" w:hAnsi="Arial" w:cs="Arial"/>
              </w:rPr>
              <w:t>Maffini</w:t>
            </w:r>
            <w:proofErr w:type="spellEnd"/>
            <w:r>
              <w:rPr>
                <w:rFonts w:ascii="Arial" w:hAnsi="Arial" w:cs="Arial"/>
              </w:rPr>
              <w:t xml:space="preserve"> y Dr. Jorge </w:t>
            </w:r>
            <w:proofErr w:type="spellStart"/>
            <w:r>
              <w:rPr>
                <w:rFonts w:ascii="Arial" w:hAnsi="Arial" w:cs="Arial"/>
              </w:rPr>
              <w:t>Coniglio</w:t>
            </w:r>
            <w:proofErr w:type="spellEnd"/>
          </w:p>
        </w:tc>
      </w:tr>
    </w:tbl>
    <w:p w14:paraId="582E4CC3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2.4 Otros colaboradores (por ej., estudiantes de doctorado):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59349C7D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3C04B" w14:textId="44EB24E0" w:rsidR="00AF4B07" w:rsidRPr="002207DA" w:rsidRDefault="00AF4B07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2645DC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  <w:r w:rsidRPr="002207DA">
        <w:rPr>
          <w:rFonts w:ascii="Arial" w:hAnsi="Arial" w:cs="Arial"/>
          <w:b/>
          <w:u w:val="single"/>
        </w:rPr>
        <w:t>3) CONTENIDO ACADÉMICO DEL CURSO</w:t>
      </w:r>
    </w:p>
    <w:p w14:paraId="6F6F4BA6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3.1 Objetivo de la asignatura: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16B1EED4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6086D" w14:textId="77777777" w:rsidR="004562CD" w:rsidRPr="004562CD" w:rsidRDefault="004562CD" w:rsidP="004562CD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4562CD">
              <w:rPr>
                <w:rFonts w:ascii="Arial" w:hAnsi="Arial" w:cs="Arial"/>
              </w:rPr>
              <w:t>CONTENIDOS MÍNIMOS:</w:t>
            </w:r>
          </w:p>
          <w:p w14:paraId="7EAA3B33" w14:textId="77777777" w:rsidR="004562CD" w:rsidRDefault="004562CD" w:rsidP="004562CD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4562CD">
              <w:rPr>
                <w:rFonts w:ascii="Arial" w:hAnsi="Arial" w:cs="Arial"/>
              </w:rPr>
              <w:t xml:space="preserve">La óptica de reflexión o calcografía se aplica al estudio de minerales metálicos (opacos) y tiene gran importancia en los estudios metalogenéticos y mineros, particularmente para la comprensión de la génesis de yacimientos, exploración y tratamiento de minerales. Es una metodología indispensable para efectuar posteriores estudios de microscopía electrónica, microsonda electrónica e isótopos, entre otros. Este curso está orientado a brindar conocimientos sobre la aplicación de la calcografía al estudio de diversos tipos de yacimientos minerales. El énfasis será puesto en yacimientos de importancia para el desarrollo minero de Argentina y el mundo, como son epitermales de metales preciosos y pórfidos de </w:t>
            </w:r>
            <w:proofErr w:type="spellStart"/>
            <w:r w:rsidRPr="004562CD">
              <w:rPr>
                <w:rFonts w:ascii="Arial" w:hAnsi="Arial" w:cs="Arial"/>
              </w:rPr>
              <w:t>Cu±Mo±Au</w:t>
            </w:r>
            <w:proofErr w:type="spellEnd"/>
            <w:r w:rsidRPr="004562CD">
              <w:rPr>
                <w:rFonts w:ascii="Arial" w:hAnsi="Arial" w:cs="Arial"/>
              </w:rPr>
              <w:t xml:space="preserve">, como así también yacimientos de segregación magmática portadores de minerales de Ni, Cu, Co y EGP. </w:t>
            </w:r>
          </w:p>
          <w:p w14:paraId="47B3FD48" w14:textId="62A56896" w:rsidR="00A976CC" w:rsidRPr="00A976CC" w:rsidRDefault="00A976CC" w:rsidP="004562CD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OBJETIVOS GENERALES:</w:t>
            </w:r>
          </w:p>
          <w:p w14:paraId="5F088963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Generar habilidades y herramientas que le permitan al profesional resolver problemas relacionados con el estudio de los minerales opacos, menas metalíferas y su aplicación en la metalogénesis y en las distintas etapas del proceso minero.</w:t>
            </w:r>
          </w:p>
          <w:p w14:paraId="658B8E81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OBJETIVOS ESPECÍFICOS:</w:t>
            </w:r>
          </w:p>
          <w:p w14:paraId="35E6C826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- Profundizar en el dominio y la utilización de la microscopía de luz reflejada como técnica de estudio aplicada a la metalogénesis.</w:t>
            </w:r>
          </w:p>
          <w:p w14:paraId="7199391C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lastRenderedPageBreak/>
              <w:t>- Adquirir habilidades para el reconocimiento de los minerales opacos en el microscopio, analizar sus propiedades ópticas, texturas e identificar asociaciones y paragénesis minerales frecuentes que componen las menas de diferentes tipos de yacimientos.</w:t>
            </w:r>
          </w:p>
          <w:p w14:paraId="1E30E92D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- Describir e interpretar las asociaciones de mena correspondientes a depósitos minerales metalíferos de interés económico en Argentina y el mundo.</w:t>
            </w:r>
          </w:p>
          <w:p w14:paraId="7EF1A0C7" w14:textId="7C48E47E" w:rsidR="00AF4B0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- Establecer implicancias en la génesis, exploración y tratamiento de minerales.</w:t>
            </w:r>
          </w:p>
        </w:tc>
      </w:tr>
    </w:tbl>
    <w:p w14:paraId="4323EA4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3.2 Metodología de enseñanza: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2A09A4F8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F98E7" w14:textId="549C4BF0" w:rsidR="00AF4B07" w:rsidRPr="002207DA" w:rsidRDefault="00A976CC" w:rsidP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Las clases se desarrollarán en laboratorio o aula de microscopía y serán teórico-prácticas. A lo largo del curso cada alumno observará un total aproximado de 20 muestras en el microscopio y durante el desarrollo de cada clase se abordarán conceptos y discusiones en torno a las muestras. La evaluación del curso se realizará mediante la elaboración de informes individuales, en formato tipo atlas, que contemple la presentación de fotografías, descripciones mineralógicas y la interpretación de asociaciones minerales, texturas y procesos. El informe se presentará con fecha posterior a la conclusión del curso.</w:t>
            </w:r>
          </w:p>
        </w:tc>
      </w:tr>
    </w:tbl>
    <w:p w14:paraId="4F0A89C5" w14:textId="50323CEA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3.3 Temario: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48BF76AC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6CC17B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  <w:b/>
                <w:bCs/>
              </w:rPr>
              <w:t>Tema 1- Conceptos fundamentales de la mineralogía de menas:</w:t>
            </w:r>
            <w:r w:rsidRPr="00A976CC">
              <w:rPr>
                <w:rFonts w:ascii="Arial" w:hAnsi="Arial" w:cs="Arial"/>
              </w:rPr>
              <w:t xml:space="preserve"> Desarrollo histórico de la disciplina y literatura científica relacionada. Asociación mineral y paragénesis. Principales grupos de minerales opacos y menas.</w:t>
            </w:r>
          </w:p>
          <w:p w14:paraId="2B4741DC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  <w:b/>
                <w:bCs/>
              </w:rPr>
              <w:t>Tema 2- Métodos cualitativos y cuantitativos en microscopia de luz reflejada: Propiedades ópticas en luz reflejada:</w:t>
            </w:r>
            <w:r w:rsidRPr="00A976CC">
              <w:rPr>
                <w:rFonts w:ascii="Arial" w:hAnsi="Arial" w:cs="Arial"/>
              </w:rPr>
              <w:t xml:space="preserve"> color, reflectividad, </w:t>
            </w:r>
            <w:proofErr w:type="spellStart"/>
            <w:r w:rsidRPr="00A976CC">
              <w:rPr>
                <w:rFonts w:ascii="Arial" w:hAnsi="Arial" w:cs="Arial"/>
              </w:rPr>
              <w:t>birreflectancia</w:t>
            </w:r>
            <w:proofErr w:type="spellEnd"/>
            <w:r w:rsidRPr="00A976CC">
              <w:rPr>
                <w:rFonts w:ascii="Arial" w:hAnsi="Arial" w:cs="Arial"/>
              </w:rPr>
              <w:t xml:space="preserve"> y pleocroísmo de reflexión, anisotropía, reflexiones internas. Dureza de pulido y de rayado. Propiedades estructurales y morfológicas. Reseña de otros métodos de estudio asociados: ensayos </w:t>
            </w:r>
            <w:proofErr w:type="spellStart"/>
            <w:r w:rsidRPr="00A976CC">
              <w:rPr>
                <w:rFonts w:ascii="Arial" w:hAnsi="Arial" w:cs="Arial"/>
              </w:rPr>
              <w:t>microquímicos</w:t>
            </w:r>
            <w:proofErr w:type="spellEnd"/>
            <w:r w:rsidRPr="00A976CC">
              <w:rPr>
                <w:rFonts w:ascii="Arial" w:hAnsi="Arial" w:cs="Arial"/>
              </w:rPr>
              <w:t xml:space="preserve">, medidas de reflectividad y su aplicación en la identificación mineral. Métodos de medida de la dureza por </w:t>
            </w:r>
            <w:proofErr w:type="spellStart"/>
            <w:r w:rsidRPr="00A976CC">
              <w:rPr>
                <w:rFonts w:ascii="Arial" w:hAnsi="Arial" w:cs="Arial"/>
              </w:rPr>
              <w:t>microindentación</w:t>
            </w:r>
            <w:proofErr w:type="spellEnd"/>
            <w:r w:rsidRPr="00A976CC">
              <w:rPr>
                <w:rFonts w:ascii="Arial" w:hAnsi="Arial" w:cs="Arial"/>
              </w:rPr>
              <w:t xml:space="preserve">. Concepto de </w:t>
            </w:r>
            <w:proofErr w:type="spellStart"/>
            <w:r w:rsidRPr="00A976CC">
              <w:rPr>
                <w:rFonts w:ascii="Arial" w:hAnsi="Arial" w:cs="Arial"/>
              </w:rPr>
              <w:t>microdureza</w:t>
            </w:r>
            <w:proofErr w:type="spellEnd"/>
            <w:r w:rsidRPr="00A976CC">
              <w:rPr>
                <w:rFonts w:ascii="Arial" w:hAnsi="Arial" w:cs="Arial"/>
              </w:rPr>
              <w:t xml:space="preserve"> Vickers y su aplicación en identificación mineral.</w:t>
            </w:r>
          </w:p>
          <w:p w14:paraId="67B654E9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>Identificación de dichas propiedades en los minerales más característicos y frecuentes que constituyen asociaciones de menas minerales.</w:t>
            </w:r>
          </w:p>
          <w:p w14:paraId="5A6751F1" w14:textId="47EA37DE" w:rsidR="00AF4B07" w:rsidRPr="002207DA" w:rsidRDefault="00A976CC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  <w:b/>
                <w:bCs/>
              </w:rPr>
              <w:t>Tema 3- Asociaciones y texturas de minerales metalíferos en yacimientos de interés económico:</w:t>
            </w:r>
            <w:r w:rsidRPr="00A976CC">
              <w:rPr>
                <w:rFonts w:ascii="Arial" w:hAnsi="Arial" w:cs="Arial"/>
              </w:rPr>
              <w:t xml:space="preserve"> reconocimiento de los minerales opacos, texturas y asociaciones minerales típicas de diferentes tipos de yacimientos. Criterios y tipos de clasificación de las texturas. Texturas primarias y secundarias: reemplazos, intercrecimientos, zonaciones internas, exsoluciones y desmezclas, texturas de oxidación, texturas especiales. Menas asociadas con yacimientos de segregación magmática (Cu-Ni-Co-Ag). Menas asociadas con yacimientos </w:t>
            </w:r>
            <w:proofErr w:type="spellStart"/>
            <w:r w:rsidRPr="00A976CC">
              <w:rPr>
                <w:rFonts w:ascii="Arial" w:hAnsi="Arial" w:cs="Arial"/>
              </w:rPr>
              <w:t>porfíricos</w:t>
            </w:r>
            <w:proofErr w:type="spellEnd"/>
            <w:r w:rsidRPr="00A976CC">
              <w:rPr>
                <w:rFonts w:ascii="Arial" w:hAnsi="Arial" w:cs="Arial"/>
              </w:rPr>
              <w:t xml:space="preserve"> (Cu y Mo ± Au): asociaciones y texturas típicas en zona primaria, zona de enriquecimiento supergénico y zona de oxidación. Yacimientos periféricos de Pb-Zn (Mn) en áreas de pórfidos. Menas de yacimientos epitermales de metales preciosos (Au-Ag) de alta, baja sulfuración y de sulfuración intermedia. Aplicación de los conceptos previos a la interpretación metalogenética y al tratamiento mineral (mineralurgia).</w:t>
            </w:r>
            <w:r w:rsidR="005C41B7" w:rsidRPr="005C41B7">
              <w:rPr>
                <w:rFonts w:ascii="Arial" w:hAnsi="Arial" w:cs="Arial"/>
              </w:rPr>
              <w:t xml:space="preserve"> </w:t>
            </w:r>
          </w:p>
        </w:tc>
      </w:tr>
    </w:tbl>
    <w:p w14:paraId="7438827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lastRenderedPageBreak/>
        <w:t>3.4 Bibliografía: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181026" w14:paraId="2932CE16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F206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976CC">
              <w:rPr>
                <w:rFonts w:ascii="Arial" w:hAnsi="Arial" w:cs="Arial"/>
                <w:lang w:val="en-US"/>
              </w:rPr>
              <w:t>Cabri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>, L.J. &amp; D.J. Vaughan (Eds.) (1998). Modern approaches to Ore and Environmental Mineralogy. Mineral. Assoc. Canada, Short Course, 27, 421 p.</w:t>
            </w:r>
          </w:p>
          <w:p w14:paraId="0D7DACA5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A976CC">
              <w:rPr>
                <w:rFonts w:ascii="Arial" w:hAnsi="Arial" w:cs="Arial"/>
                <w:lang w:val="en-US"/>
              </w:rPr>
              <w:t>Craig, J.R. &amp; Vaughan, D.J. (1981): Ore Microscopy and Ore Petrography. John Wiley &amp; Sons, New York, 406 p.</w:t>
            </w:r>
          </w:p>
          <w:p w14:paraId="2954EEF7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r w:rsidRPr="00A976CC">
              <w:rPr>
                <w:rFonts w:ascii="Arial" w:hAnsi="Arial" w:cs="Arial"/>
                <w:lang w:val="en-US"/>
              </w:rPr>
              <w:t xml:space="preserve">Craig, J. R.,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Vaugham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>, D. J. (1994). Ore Microscopy and Ore Petrography, 2ª ed. John Wiley &amp; Sons, New York, 434 p.</w:t>
            </w:r>
          </w:p>
          <w:p w14:paraId="3A6035F9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  <w:lang w:val="en-US"/>
              </w:rPr>
              <w:t xml:space="preserve">de Brodtkorb, M; Lagorio, S; Latorre C; Leal, P; Montenegro, T; Morello, O;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Pezzutti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, N; Tourn, S;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Vattuone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; M.E. (2014). </w:t>
            </w:r>
            <w:r w:rsidRPr="00A976CC">
              <w:rPr>
                <w:rFonts w:ascii="Arial" w:hAnsi="Arial" w:cs="Arial"/>
              </w:rPr>
              <w:t xml:space="preserve">Las Especies Minerales de la República Argentina. Comp. Milka </w:t>
            </w:r>
            <w:proofErr w:type="spellStart"/>
            <w:r w:rsidRPr="00A976CC">
              <w:rPr>
                <w:rFonts w:ascii="Arial" w:hAnsi="Arial" w:cs="Arial"/>
              </w:rPr>
              <w:t>Brodtkorb</w:t>
            </w:r>
            <w:proofErr w:type="spellEnd"/>
            <w:r w:rsidRPr="00A976CC">
              <w:rPr>
                <w:rFonts w:ascii="Arial" w:hAnsi="Arial" w:cs="Arial"/>
              </w:rPr>
              <w:t>. Asociación Mineralógica Argentina. 752 pp.</w:t>
            </w:r>
          </w:p>
          <w:p w14:paraId="18036CCC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 xml:space="preserve">Echeveste, H; del Blanco, M; </w:t>
            </w:r>
            <w:proofErr w:type="spellStart"/>
            <w:r w:rsidRPr="00A976CC">
              <w:rPr>
                <w:rFonts w:ascii="Arial" w:hAnsi="Arial" w:cs="Arial"/>
              </w:rPr>
              <w:t>Bodaño</w:t>
            </w:r>
            <w:proofErr w:type="spellEnd"/>
            <w:r w:rsidRPr="00A976CC">
              <w:rPr>
                <w:rFonts w:ascii="Arial" w:hAnsi="Arial" w:cs="Arial"/>
              </w:rPr>
              <w:t xml:space="preserve">, M. (2014). Atlas de Minerales Opacos. Instituto de Recursos Minerales. Facultad de Ciencias Naturales y Museo, Universidad Nacional de La Plata. Figueiredo, B. R., 2000. </w:t>
            </w:r>
            <w:proofErr w:type="spellStart"/>
            <w:r w:rsidRPr="00A976CC">
              <w:rPr>
                <w:rFonts w:ascii="Arial" w:hAnsi="Arial" w:cs="Arial"/>
              </w:rPr>
              <w:t>Minérios</w:t>
            </w:r>
            <w:proofErr w:type="spellEnd"/>
            <w:r w:rsidRPr="00A976CC">
              <w:rPr>
                <w:rFonts w:ascii="Arial" w:hAnsi="Arial" w:cs="Arial"/>
              </w:rPr>
              <w:t xml:space="preserve"> e Ambiente. Ed. </w:t>
            </w:r>
            <w:proofErr w:type="spellStart"/>
            <w:r w:rsidRPr="00A976CC">
              <w:rPr>
                <w:rFonts w:ascii="Arial" w:hAnsi="Arial" w:cs="Arial"/>
              </w:rPr>
              <w:t>Unicamp</w:t>
            </w:r>
            <w:proofErr w:type="spellEnd"/>
            <w:r w:rsidRPr="00A976CC">
              <w:rPr>
                <w:rFonts w:ascii="Arial" w:hAnsi="Arial" w:cs="Arial"/>
              </w:rPr>
              <w:t>. Brasil. 235 p.</w:t>
            </w:r>
          </w:p>
          <w:p w14:paraId="567191B2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  <w:lang w:val="en-US"/>
              </w:rPr>
              <w:t xml:space="preserve">Ineson, P.R. (1989). Introduction to practical ore microscopy. Longman, London.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Ixer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 R. A. (1991). Atlas of Opaque and Ore Minerals in Their Associations. Van Nostrand Reinhold. </w:t>
            </w:r>
            <w:r w:rsidRPr="00A976CC">
              <w:rPr>
                <w:rFonts w:ascii="Arial" w:hAnsi="Arial" w:cs="Arial"/>
              </w:rPr>
              <w:t xml:space="preserve">Versión </w:t>
            </w:r>
            <w:proofErr w:type="spellStart"/>
            <w:r w:rsidRPr="00A976CC">
              <w:rPr>
                <w:rFonts w:ascii="Arial" w:hAnsi="Arial" w:cs="Arial"/>
              </w:rPr>
              <w:t>html</w:t>
            </w:r>
            <w:proofErr w:type="spellEnd"/>
            <w:r w:rsidRPr="00A976CC">
              <w:rPr>
                <w:rFonts w:ascii="Arial" w:hAnsi="Arial" w:cs="Arial"/>
              </w:rPr>
              <w:t xml:space="preserve"> en http://www.smenet.org/opaque-ore/</w:t>
            </w:r>
          </w:p>
          <w:p w14:paraId="5DEF2D5C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976CC">
              <w:rPr>
                <w:rFonts w:ascii="Arial" w:hAnsi="Arial" w:cs="Arial"/>
              </w:rPr>
              <w:t>Jambor</w:t>
            </w:r>
            <w:proofErr w:type="spellEnd"/>
            <w:r w:rsidRPr="00A976CC">
              <w:rPr>
                <w:rFonts w:ascii="Arial" w:hAnsi="Arial" w:cs="Arial"/>
              </w:rPr>
              <w:t xml:space="preserve">, J.L. &amp; Vaughan, D.J., (Eds.) </w:t>
            </w:r>
            <w:r w:rsidRPr="00A976CC">
              <w:rPr>
                <w:rFonts w:ascii="Arial" w:hAnsi="Arial" w:cs="Arial"/>
                <w:lang w:val="en-US"/>
              </w:rPr>
              <w:t>(1990). Advanced Microscopic Studies of Ore Minerals. Mineral. Assoc. Canada, Short Course Vol. 17, 426 p.</w:t>
            </w:r>
          </w:p>
          <w:p w14:paraId="3BABF824" w14:textId="77777777" w:rsidR="00A976CC" w:rsidRPr="004562CD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874534">
              <w:rPr>
                <w:rFonts w:ascii="Arial" w:hAnsi="Arial" w:cs="Arial"/>
                <w:lang w:val="en-US"/>
              </w:rPr>
              <w:t xml:space="preserve">Paar, W., de Brodtkorb M., Putz, H., Martin, R. (2016). </w:t>
            </w:r>
            <w:r w:rsidRPr="00A976CC">
              <w:rPr>
                <w:rFonts w:ascii="Arial" w:hAnsi="Arial" w:cs="Arial"/>
                <w:lang w:val="en-US"/>
              </w:rPr>
              <w:t xml:space="preserve">Atlas of ore minerals. Focus on epithermal deposits of Argentina. The Canadian Mineralogist, Special publication, 402 pp. Picot, P., Johan, Z. (1982). Atlas of ore minerals. BRGM – Elsevier, Orleans –Amsterdam, 458p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Pracejus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, B. (2015). The ore minerals under the microscope: an optical guide. Elsevier. 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Ramdhor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, P. (1980). The Ore Minerals and their Intergrowths, 2nd ed. </w:t>
            </w:r>
            <w:proofErr w:type="spellStart"/>
            <w:r w:rsidRPr="004562CD">
              <w:rPr>
                <w:rFonts w:ascii="Arial" w:hAnsi="Arial" w:cs="Arial"/>
              </w:rPr>
              <w:t>Pergamon</w:t>
            </w:r>
            <w:proofErr w:type="spellEnd"/>
            <w:r w:rsidRPr="004562CD">
              <w:rPr>
                <w:rFonts w:ascii="Arial" w:hAnsi="Arial" w:cs="Arial"/>
              </w:rPr>
              <w:t xml:space="preserve">, Oxford, 1205 pp. Segal, S; </w:t>
            </w:r>
            <w:proofErr w:type="spellStart"/>
            <w:r w:rsidRPr="004562CD">
              <w:rPr>
                <w:rFonts w:ascii="Arial" w:hAnsi="Arial" w:cs="Arial"/>
              </w:rPr>
              <w:t>Crosta</w:t>
            </w:r>
            <w:proofErr w:type="spellEnd"/>
            <w:r w:rsidRPr="004562CD">
              <w:rPr>
                <w:rFonts w:ascii="Arial" w:hAnsi="Arial" w:cs="Arial"/>
              </w:rPr>
              <w:t>, S. Atlas de</w:t>
            </w:r>
          </w:p>
          <w:p w14:paraId="4F5B4F20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</w:rPr>
            </w:pPr>
            <w:r w:rsidRPr="00A976CC">
              <w:rPr>
                <w:rFonts w:ascii="Arial" w:hAnsi="Arial" w:cs="Arial"/>
              </w:rPr>
              <w:t xml:space="preserve">Asociaciones </w:t>
            </w:r>
            <w:proofErr w:type="spellStart"/>
            <w:r w:rsidRPr="00A976CC">
              <w:rPr>
                <w:rFonts w:ascii="Arial" w:hAnsi="Arial" w:cs="Arial"/>
              </w:rPr>
              <w:t>Paragenéticas</w:t>
            </w:r>
            <w:proofErr w:type="spellEnd"/>
            <w:r w:rsidRPr="00A976CC">
              <w:rPr>
                <w:rFonts w:ascii="Arial" w:hAnsi="Arial" w:cs="Arial"/>
              </w:rPr>
              <w:t xml:space="preserve"> de Menas de la República Argentina (2011) Servicio Geol. Minero Argentino. Serie de Publicaciones </w:t>
            </w:r>
            <w:proofErr w:type="spellStart"/>
            <w:r w:rsidRPr="00A976CC">
              <w:rPr>
                <w:rFonts w:ascii="Arial" w:hAnsi="Arial" w:cs="Arial"/>
              </w:rPr>
              <w:t>N°</w:t>
            </w:r>
            <w:proofErr w:type="spellEnd"/>
            <w:r w:rsidRPr="00A976CC">
              <w:rPr>
                <w:rFonts w:ascii="Arial" w:hAnsi="Arial" w:cs="Arial"/>
              </w:rPr>
              <w:t xml:space="preserve"> 172. 115pp.</w:t>
            </w:r>
          </w:p>
          <w:p w14:paraId="7CF7547D" w14:textId="77777777" w:rsidR="00A976CC" w:rsidRPr="00A976CC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976CC">
              <w:rPr>
                <w:rFonts w:ascii="Arial" w:hAnsi="Arial" w:cs="Arial"/>
              </w:rPr>
              <w:t>Spry</w:t>
            </w:r>
            <w:proofErr w:type="spellEnd"/>
            <w:r w:rsidRPr="00A976CC">
              <w:rPr>
                <w:rFonts w:ascii="Arial" w:hAnsi="Arial" w:cs="Arial"/>
              </w:rPr>
              <w:t xml:space="preserve"> P.G., </w:t>
            </w:r>
            <w:proofErr w:type="spellStart"/>
            <w:r w:rsidRPr="00A976CC">
              <w:rPr>
                <w:rFonts w:ascii="Arial" w:hAnsi="Arial" w:cs="Arial"/>
              </w:rPr>
              <w:t>Gedlinske</w:t>
            </w:r>
            <w:proofErr w:type="spellEnd"/>
            <w:r w:rsidRPr="00A976CC">
              <w:rPr>
                <w:rFonts w:ascii="Arial" w:hAnsi="Arial" w:cs="Arial"/>
              </w:rPr>
              <w:t xml:space="preserve">, B.L. (1987). </w:t>
            </w:r>
            <w:r w:rsidRPr="00A976CC">
              <w:rPr>
                <w:rFonts w:ascii="Arial" w:hAnsi="Arial" w:cs="Arial"/>
                <w:lang w:val="en-US"/>
              </w:rPr>
              <w:t>Tables for the Determination of Common Opaque Minerals. Economic Geology Publishing Co.</w:t>
            </w:r>
          </w:p>
          <w:p w14:paraId="731C8BF9" w14:textId="377145C2" w:rsidR="00AF4B07" w:rsidRPr="00882F09" w:rsidRDefault="00A976CC" w:rsidP="00A976CC">
            <w:pPr>
              <w:pStyle w:val="Standard"/>
              <w:spacing w:before="120" w:after="120"/>
              <w:jc w:val="both"/>
              <w:rPr>
                <w:rFonts w:ascii="Arial" w:hAnsi="Arial" w:cs="Arial"/>
                <w:lang w:val="en-US"/>
              </w:rPr>
            </w:pPr>
            <w:proofErr w:type="spellStart"/>
            <w:r w:rsidRPr="00A976CC">
              <w:rPr>
                <w:rFonts w:ascii="Arial" w:hAnsi="Arial" w:cs="Arial"/>
                <w:lang w:val="en-US"/>
              </w:rPr>
              <w:t>Uytenbogaardt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>, W. y Burke, E.A.J. (1971). Tables for Microscopic Identification of Ore Minerals. Elsevier, Amsterdam, 430 p. (</w:t>
            </w:r>
            <w:proofErr w:type="spellStart"/>
            <w:r w:rsidRPr="00A976CC">
              <w:rPr>
                <w:rFonts w:ascii="Arial" w:hAnsi="Arial" w:cs="Arial"/>
                <w:lang w:val="en-US"/>
              </w:rPr>
              <w:t>Reimpresión</w:t>
            </w:r>
            <w:proofErr w:type="spellEnd"/>
            <w:r w:rsidRPr="00A976CC">
              <w:rPr>
                <w:rFonts w:ascii="Arial" w:hAnsi="Arial" w:cs="Arial"/>
                <w:lang w:val="en-US"/>
              </w:rPr>
              <w:t xml:space="preserve"> de Dover Publications, New York, 1986).</w:t>
            </w:r>
          </w:p>
        </w:tc>
      </w:tr>
    </w:tbl>
    <w:p w14:paraId="1D18FAEF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3.5 Conocimientos previos requeridos:</w:t>
      </w:r>
    </w:p>
    <w:tbl>
      <w:tblPr>
        <w:tblW w:w="84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4"/>
      </w:tblGrid>
      <w:tr w:rsidR="00AF4B07" w:rsidRPr="002207DA" w14:paraId="7CA2822A" w14:textId="77777777">
        <w:tc>
          <w:tcPr>
            <w:tcW w:w="8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3CC54" w14:textId="30E13ED6" w:rsidR="00AF4B07" w:rsidRPr="002207DA" w:rsidRDefault="00882F09" w:rsidP="00882F09">
            <w:pPr>
              <w:pStyle w:val="Standard"/>
              <w:spacing w:before="120" w:after="120" w:line="240" w:lineRule="auto"/>
              <w:jc w:val="both"/>
              <w:rPr>
                <w:rFonts w:ascii="Arial" w:hAnsi="Arial" w:cs="Arial"/>
              </w:rPr>
            </w:pPr>
            <w:r w:rsidRPr="00882F09">
              <w:rPr>
                <w:rFonts w:ascii="Arial" w:hAnsi="Arial" w:cs="Arial"/>
              </w:rPr>
              <w:t>Conocimientos de mineralogía, clasificación de rocas sedimentarias, ígneas y metamórficas, procesos geológicos, comportamiento geoquímico de los elementos, procesos endógenos y exógenos, tipos de metamorfismo. Capacidad de utilizar el microscopio petrográfico</w:t>
            </w:r>
            <w:r w:rsidR="001A3345">
              <w:rPr>
                <w:rFonts w:ascii="Arial" w:hAnsi="Arial" w:cs="Arial"/>
              </w:rPr>
              <w:t xml:space="preserve"> de transmisión y reflexión. Conocimientos básicos de propiedades ópticas de luz reflejada e identificación de minerales opacos.</w:t>
            </w:r>
          </w:p>
        </w:tc>
      </w:tr>
    </w:tbl>
    <w:p w14:paraId="01687953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  <w:b/>
          <w:u w:val="single"/>
        </w:rPr>
      </w:pPr>
    </w:p>
    <w:p w14:paraId="20032691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lastRenderedPageBreak/>
        <w:t>4) INFORME FINAL</w:t>
      </w:r>
      <w:r w:rsidRPr="002207DA">
        <w:rPr>
          <w:rFonts w:ascii="Arial" w:hAnsi="Arial" w:cs="Arial"/>
        </w:rPr>
        <w:t xml:space="preserve"> Al finalizar el curso, el docente responsable deberá presentar una breve evaluación de la actividad, indicando:</w:t>
      </w:r>
    </w:p>
    <w:p w14:paraId="33EB521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1.</w:t>
      </w:r>
      <w:r w:rsidRPr="002207DA">
        <w:rPr>
          <w:rFonts w:ascii="Arial" w:hAnsi="Arial" w:cs="Arial"/>
        </w:rPr>
        <w:tab/>
        <w:t>Porcentaje de asistencia (% de inscriptos que alcanzaron el mínimo requerido de asistencias para aprobar el curso).</w:t>
      </w:r>
    </w:p>
    <w:p w14:paraId="65B9BB72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2.</w:t>
      </w:r>
      <w:r w:rsidRPr="002207DA">
        <w:rPr>
          <w:rFonts w:ascii="Arial" w:hAnsi="Arial" w:cs="Arial"/>
        </w:rPr>
        <w:tab/>
        <w:t>Participación de docentes del exterior (si corresponde).</w:t>
      </w:r>
    </w:p>
    <w:p w14:paraId="2159009C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3.</w:t>
      </w:r>
      <w:r w:rsidRPr="002207DA">
        <w:rPr>
          <w:rFonts w:ascii="Arial" w:hAnsi="Arial" w:cs="Arial"/>
        </w:rPr>
        <w:tab/>
        <w:t>Opinión general:</w:t>
      </w:r>
    </w:p>
    <w:p w14:paraId="6E7929F3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desarrollo de la interacción docente-estudiante durante el curso?</w:t>
      </w:r>
    </w:p>
    <w:p w14:paraId="394B41D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¿Cómo valora el seguimiento de las actividades del curso por parte de los estudiantes?</w:t>
      </w:r>
    </w:p>
    <w:p w14:paraId="1729CAF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¿El curso se dictó y cursó con normalidad de acuerdo a lo esperado?</w:t>
      </w:r>
    </w:p>
    <w:p w14:paraId="395C5B38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¿Surgieron imprevistos?</w:t>
      </w:r>
    </w:p>
    <w:p w14:paraId="272445FE" w14:textId="77777777" w:rsidR="00AF4B07" w:rsidRPr="002207DA" w:rsidRDefault="00DD3F56">
      <w:pPr>
        <w:pStyle w:val="Standard"/>
        <w:spacing w:before="120" w:after="120" w:line="240" w:lineRule="auto"/>
        <w:ind w:left="709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- ¿Fue necesario introducir cambios en el curso durante su realización, en relación a la propuesta original? Si fue el caso, por favor especificar.</w:t>
      </w:r>
    </w:p>
    <w:p w14:paraId="359DE22A" w14:textId="77777777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Nota: Máximo una carilla.</w:t>
      </w:r>
    </w:p>
    <w:p w14:paraId="04FA2447" w14:textId="77777777" w:rsidR="00AF4B07" w:rsidRPr="002207DA" w:rsidRDefault="00AF4B07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</w:p>
    <w:p w14:paraId="0B4E620E" w14:textId="0EA8197F" w:rsidR="00AF4B07" w:rsidRPr="002207DA" w:rsidRDefault="00DD3F5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  <w:b/>
          <w:u w:val="single"/>
        </w:rPr>
        <w:t>5) SOLICITUD DE FINANCIAMIENTO</w:t>
      </w:r>
      <w:r w:rsidRPr="002207DA">
        <w:rPr>
          <w:rFonts w:ascii="Arial" w:hAnsi="Arial" w:cs="Arial"/>
          <w:b/>
        </w:rPr>
        <w:t xml:space="preserve"> </w:t>
      </w:r>
      <w:r w:rsidRPr="002207DA">
        <w:rPr>
          <w:rFonts w:ascii="Arial" w:hAnsi="Arial" w:cs="Arial"/>
        </w:rPr>
        <w:t>(ítem exclusivo para aquellos cursos que soliciten financiamiento). Indicar si el curso solicita fondos al Área Ge</w:t>
      </w:r>
      <w:r w:rsidR="002207DA">
        <w:rPr>
          <w:rFonts w:ascii="Arial" w:hAnsi="Arial" w:cs="Arial"/>
        </w:rPr>
        <w:t xml:space="preserve">ociencias. En caso </w:t>
      </w:r>
      <w:r w:rsidR="00A54977">
        <w:rPr>
          <w:rFonts w:ascii="Arial" w:hAnsi="Arial" w:cs="Arial"/>
        </w:rPr>
        <w:t xml:space="preserve">de </w:t>
      </w:r>
      <w:r w:rsidR="002207DA">
        <w:rPr>
          <w:rFonts w:ascii="Arial" w:hAnsi="Arial" w:cs="Arial"/>
        </w:rPr>
        <w:t>que así sea,</w:t>
      </w:r>
      <w:r w:rsidRPr="002207DA">
        <w:rPr>
          <w:rFonts w:ascii="Arial" w:hAnsi="Arial" w:cs="Arial"/>
        </w:rPr>
        <w:t xml:space="preserve"> por favor adjuntar el formulario de </w:t>
      </w:r>
      <w:r w:rsidRPr="002207DA">
        <w:rPr>
          <w:rFonts w:ascii="Arial" w:hAnsi="Arial" w:cs="Arial"/>
          <w:i/>
          <w:u w:val="single"/>
        </w:rPr>
        <w:t>Solicitud de Financiamiento</w:t>
      </w:r>
      <w:r w:rsidRPr="002207DA">
        <w:rPr>
          <w:rFonts w:ascii="Arial" w:hAnsi="Arial" w:cs="Arial"/>
        </w:rPr>
        <w:t>.</w:t>
      </w:r>
    </w:p>
    <w:p w14:paraId="1FB6D66D" w14:textId="77777777" w:rsidR="00F65B06" w:rsidRDefault="00F65B06">
      <w:pPr>
        <w:pStyle w:val="Standard"/>
        <w:spacing w:before="120" w:after="120" w:line="240" w:lineRule="auto"/>
        <w:rPr>
          <w:rFonts w:ascii="Arial" w:hAnsi="Arial" w:cs="Arial"/>
          <w:b/>
        </w:rPr>
      </w:pPr>
    </w:p>
    <w:p w14:paraId="501C39F8" w14:textId="77777777" w:rsidR="00F65B06" w:rsidRDefault="00F65B0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</w:p>
    <w:p w14:paraId="591477A5" w14:textId="444CC48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  <w:b/>
        </w:rPr>
      </w:pPr>
      <w:r w:rsidRPr="002207DA">
        <w:rPr>
          <w:rFonts w:ascii="Arial" w:hAnsi="Arial" w:cs="Arial"/>
          <w:b/>
        </w:rPr>
        <w:t>ANEXO</w:t>
      </w:r>
    </w:p>
    <w:p w14:paraId="013ED68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CRITERIO PARA EL CÁLCULO DE CRÉDITOS</w:t>
      </w:r>
    </w:p>
    <w:p w14:paraId="62B7B30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La Comisión de Posgrado asignará los créditos a cada curso hasta un máximo de 15, atendiendo al carácter obligatorio o no del mismo, a la amplitud de su contenido y a su extensión horaria.</w:t>
      </w:r>
    </w:p>
    <w:p w14:paraId="3C5B2AA5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El estudio de esta propuesta será realizado por la Comisión de Posgrado del área.</w:t>
      </w:r>
    </w:p>
    <w:p w14:paraId="00E7CEC0" w14:textId="62B419EE" w:rsidR="008C09F5" w:rsidRPr="008C09F5" w:rsidRDefault="008C09F5" w:rsidP="008C09F5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8C09F5">
        <w:rPr>
          <w:rFonts w:ascii="Arial" w:hAnsi="Arial" w:cs="Arial"/>
        </w:rPr>
        <w:t xml:space="preserve">De acuerdo al Acta 261/23 de Comisión de Posgrado, se aplicará el factor 1.8 a todas las horas presenciales (teóricas/prácticas) en los cursos del área Geociencias, independientemente de la duración del curso (semestral o concentrado).  Se solicita por tanto </w:t>
      </w:r>
      <w:r w:rsidRPr="008C09F5">
        <w:rPr>
          <w:rFonts w:ascii="Arial" w:hAnsi="Arial" w:cs="Arial"/>
          <w:u w:val="single"/>
        </w:rPr>
        <w:t>no incluir horas no presenciales al cálculo de horas del curso</w:t>
      </w:r>
      <w:r w:rsidRPr="008C09F5">
        <w:rPr>
          <w:rFonts w:ascii="Arial" w:hAnsi="Arial" w:cs="Arial"/>
        </w:rPr>
        <w:t>.</w:t>
      </w:r>
    </w:p>
    <w:p w14:paraId="5CF68509" w14:textId="77777777" w:rsidR="008C09F5" w:rsidRDefault="008C09F5" w:rsidP="008C09F5">
      <w:pPr>
        <w:shd w:val="clear" w:color="auto" w:fill="FFFFFF"/>
        <w:suppressAutoHyphens w:val="0"/>
        <w:jc w:val="both"/>
        <w:textAlignment w:val="auto"/>
        <w:rPr>
          <w:rFonts w:ascii="Comic Sans MS" w:eastAsia="Comic Sans MS" w:hAnsi="Comic Sans MS" w:cs="Comic Sans MS"/>
          <w:b/>
          <w:bCs/>
          <w:color w:val="222222"/>
        </w:rPr>
      </w:pPr>
    </w:p>
    <w:p w14:paraId="018678CD" w14:textId="50C49BC0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Observaciones:</w:t>
      </w:r>
    </w:p>
    <w:p w14:paraId="1ED4F8B6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no intensivos: 8hs.</w:t>
      </w:r>
    </w:p>
    <w:p w14:paraId="6B562659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Máximo de horas teóricas por día cursos intensivos: 10hs.</w:t>
      </w:r>
    </w:p>
    <w:p w14:paraId="630A0D91" w14:textId="77777777" w:rsidR="00AF4B07" w:rsidRPr="002207DA" w:rsidRDefault="00DD3F56" w:rsidP="00F65B06">
      <w:pPr>
        <w:pStyle w:val="Standard"/>
        <w:spacing w:before="120" w:after="120" w:line="240" w:lineRule="auto"/>
        <w:jc w:val="both"/>
        <w:rPr>
          <w:rFonts w:ascii="Arial" w:hAnsi="Arial" w:cs="Arial"/>
        </w:rPr>
      </w:pPr>
      <w:r w:rsidRPr="002207DA">
        <w:rPr>
          <w:rFonts w:ascii="Arial" w:hAnsi="Arial" w:cs="Arial"/>
        </w:rPr>
        <w:t>Cada día de salida de campo corresponden a 8hs de trabajo práctico</w:t>
      </w:r>
    </w:p>
    <w:sectPr w:rsidR="00AF4B07" w:rsidRPr="002207DA">
      <w:headerReference w:type="default" r:id="rId9"/>
      <w:pgSz w:w="11906" w:h="16838"/>
      <w:pgMar w:top="1417" w:right="1701" w:bottom="720" w:left="1701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A812E" w14:textId="77777777" w:rsidR="00CE7121" w:rsidRDefault="00CE7121">
      <w:r>
        <w:separator/>
      </w:r>
    </w:p>
  </w:endnote>
  <w:endnote w:type="continuationSeparator" w:id="0">
    <w:p w14:paraId="205F6C51" w14:textId="77777777" w:rsidR="00CE7121" w:rsidRDefault="00CE7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Noto Sans CJK SC">
    <w:charset w:val="00"/>
    <w:family w:val="auto"/>
    <w:pitch w:val="variable"/>
  </w:font>
  <w:font w:name="Lohit Devanagari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11275D" w14:textId="77777777" w:rsidR="00CE7121" w:rsidRDefault="00CE7121">
      <w:r>
        <w:rPr>
          <w:color w:val="000000"/>
        </w:rPr>
        <w:separator/>
      </w:r>
    </w:p>
  </w:footnote>
  <w:footnote w:type="continuationSeparator" w:id="0">
    <w:p w14:paraId="366DC7F7" w14:textId="77777777" w:rsidR="00CE7121" w:rsidRDefault="00CE7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505" w:type="dxa"/>
      <w:tblInd w:w="-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985"/>
      <w:gridCol w:w="6520"/>
    </w:tblGrid>
    <w:tr w:rsidR="0019791C" w14:paraId="31F3D28C" w14:textId="77777777">
      <w:tc>
        <w:tcPr>
          <w:tcW w:w="1985" w:type="dxa"/>
          <w:tcMar>
            <w:top w:w="0" w:type="dxa"/>
            <w:left w:w="108" w:type="dxa"/>
            <w:bottom w:w="0" w:type="dxa"/>
            <w:right w:w="108" w:type="dxa"/>
          </w:tcMar>
        </w:tcPr>
        <w:p w14:paraId="65C63A54" w14:textId="77777777" w:rsidR="00687476" w:rsidRDefault="00DD3F56">
          <w:pPr>
            <w:pStyle w:val="Standarduser"/>
            <w:jc w:val="center"/>
          </w:pPr>
          <w:r>
            <w:rPr>
              <w:noProof/>
              <w:lang w:val="es-UY" w:eastAsia="es-UY" w:bidi="ar-SA"/>
            </w:rPr>
            <w:drawing>
              <wp:inline distT="0" distB="0" distL="0" distR="0" wp14:anchorId="34443647" wp14:editId="37E30A8D">
                <wp:extent cx="1101600" cy="1454040"/>
                <wp:effectExtent l="0" t="0" r="3300" b="0"/>
                <wp:docPr id="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1600" cy="145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00B88535" w14:textId="77777777" w:rsidR="00687476" w:rsidRDefault="00DD3F5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  <w:r>
            <w:rPr>
              <w:smallCaps/>
              <w:color w:val="0000FF"/>
              <w:sz w:val="22"/>
              <w:szCs w:val="22"/>
            </w:rPr>
            <w:t>PROGRAMA DE DESARROLLO DE LAS CIENCIAS BASICAS</w:t>
          </w:r>
        </w:p>
        <w:p w14:paraId="41DAE9D1" w14:textId="77777777" w:rsidR="00687476" w:rsidRDefault="00687476">
          <w:pPr>
            <w:pStyle w:val="Standarduser"/>
            <w:jc w:val="center"/>
            <w:rPr>
              <w:smallCaps/>
              <w:color w:val="0000FF"/>
              <w:sz w:val="22"/>
              <w:szCs w:val="22"/>
            </w:rPr>
          </w:pPr>
        </w:p>
        <w:p w14:paraId="0648CD2C" w14:textId="77777777" w:rsidR="00687476" w:rsidRDefault="00DD3F56">
          <w:pPr>
            <w:pStyle w:val="Standarduser"/>
            <w:jc w:val="center"/>
            <w:rPr>
              <w:color w:val="0000FF"/>
              <w:sz w:val="22"/>
              <w:szCs w:val="22"/>
            </w:rPr>
          </w:pPr>
          <w:r>
            <w:rPr>
              <w:color w:val="0000FF"/>
              <w:sz w:val="22"/>
              <w:szCs w:val="22"/>
            </w:rPr>
            <w:t>Ministerio de Educación y Cultura - Universidad de la República</w:t>
          </w:r>
        </w:p>
      </w:tc>
    </w:tr>
  </w:tbl>
  <w:p w14:paraId="71E11C39" w14:textId="77777777" w:rsidR="00687476" w:rsidRDefault="0068747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CFA"/>
    <w:multiLevelType w:val="multilevel"/>
    <w:tmpl w:val="4B127BF4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2E04B20"/>
    <w:multiLevelType w:val="multilevel"/>
    <w:tmpl w:val="85404F28"/>
    <w:styleLink w:val="Sinlista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 w15:restartNumberingAfterBreak="0">
    <w:nsid w:val="5FAE702D"/>
    <w:multiLevelType w:val="multilevel"/>
    <w:tmpl w:val="84366C5E"/>
    <w:styleLink w:val="WWNum2"/>
    <w:lvl w:ilvl="0">
      <w:numFmt w:val="bullet"/>
      <w:lvlText w:val=""/>
      <w:lvlJc w:val="left"/>
      <w:pPr>
        <w:ind w:left="1068" w:hanging="360"/>
      </w:pPr>
    </w:lvl>
    <w:lvl w:ilvl="1">
      <w:numFmt w:val="bullet"/>
      <w:lvlText w:val="o"/>
      <w:lvlJc w:val="left"/>
      <w:pPr>
        <w:ind w:left="1788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508" w:hanging="360"/>
      </w:pPr>
    </w:lvl>
    <w:lvl w:ilvl="3">
      <w:numFmt w:val="bullet"/>
      <w:lvlText w:val=""/>
      <w:lvlJc w:val="left"/>
      <w:pPr>
        <w:ind w:left="3228" w:hanging="360"/>
      </w:pPr>
    </w:lvl>
    <w:lvl w:ilvl="4">
      <w:numFmt w:val="bullet"/>
      <w:lvlText w:val="o"/>
      <w:lvlJc w:val="left"/>
      <w:pPr>
        <w:ind w:left="3948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668" w:hanging="360"/>
      </w:pPr>
    </w:lvl>
    <w:lvl w:ilvl="6">
      <w:numFmt w:val="bullet"/>
      <w:lvlText w:val=""/>
      <w:lvlJc w:val="left"/>
      <w:pPr>
        <w:ind w:left="5388" w:hanging="360"/>
      </w:pPr>
    </w:lvl>
    <w:lvl w:ilvl="7">
      <w:numFmt w:val="bullet"/>
      <w:lvlText w:val="o"/>
      <w:lvlJc w:val="left"/>
      <w:pPr>
        <w:ind w:left="6108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828" w:hanging="360"/>
      </w:pPr>
    </w:lvl>
  </w:abstractNum>
  <w:num w:numId="1" w16cid:durableId="236597303">
    <w:abstractNumId w:val="1"/>
  </w:num>
  <w:num w:numId="2" w16cid:durableId="1676885733">
    <w:abstractNumId w:val="0"/>
  </w:num>
  <w:num w:numId="3" w16cid:durableId="18133985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4B07"/>
    <w:rsid w:val="000D1734"/>
    <w:rsid w:val="0010598C"/>
    <w:rsid w:val="00175290"/>
    <w:rsid w:val="00181026"/>
    <w:rsid w:val="001A3345"/>
    <w:rsid w:val="002207DA"/>
    <w:rsid w:val="00231343"/>
    <w:rsid w:val="00293646"/>
    <w:rsid w:val="002F4EA5"/>
    <w:rsid w:val="00415B1D"/>
    <w:rsid w:val="00427BB5"/>
    <w:rsid w:val="004310B8"/>
    <w:rsid w:val="004562CD"/>
    <w:rsid w:val="005C41B7"/>
    <w:rsid w:val="00687476"/>
    <w:rsid w:val="006C62C9"/>
    <w:rsid w:val="00702DED"/>
    <w:rsid w:val="007C1560"/>
    <w:rsid w:val="007D7C43"/>
    <w:rsid w:val="0085694A"/>
    <w:rsid w:val="00874534"/>
    <w:rsid w:val="00882F09"/>
    <w:rsid w:val="008C09F5"/>
    <w:rsid w:val="009D0B40"/>
    <w:rsid w:val="00A54977"/>
    <w:rsid w:val="00A976CC"/>
    <w:rsid w:val="00AF4B07"/>
    <w:rsid w:val="00BE1A24"/>
    <w:rsid w:val="00CE7121"/>
    <w:rsid w:val="00CF36CC"/>
    <w:rsid w:val="00D8127F"/>
    <w:rsid w:val="00D87FC0"/>
    <w:rsid w:val="00DD3F56"/>
    <w:rsid w:val="00E70A6C"/>
    <w:rsid w:val="00EA0830"/>
    <w:rsid w:val="00EF4DCF"/>
    <w:rsid w:val="00F65B06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832ED"/>
  <w15:docId w15:val="{CEA2C7A0-9899-48C5-B421-28FDC259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DejaVu Sans"/>
        <w:sz w:val="22"/>
        <w:szCs w:val="22"/>
        <w:lang w:val="es-UY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Lohit Devanagari"/>
      <w:sz w:val="24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ohit Devanagari"/>
      <w:sz w:val="24"/>
    </w:rPr>
  </w:style>
  <w:style w:type="paragraph" w:customStyle="1" w:styleId="HeaderandFooter">
    <w:name w:val="Header and Footer"/>
    <w:basedOn w:val="Standard"/>
  </w:style>
  <w:style w:type="paragraph" w:styleId="Encabezado">
    <w:name w:val="header"/>
    <w:basedOn w:val="HeaderandFooter"/>
    <w:pPr>
      <w:suppressLineNumbers/>
      <w:tabs>
        <w:tab w:val="center" w:pos="4986"/>
        <w:tab w:val="right" w:pos="9972"/>
      </w:tabs>
    </w:pPr>
  </w:style>
  <w:style w:type="paragraph" w:styleId="Piedepgina">
    <w:name w:val="footer"/>
    <w:basedOn w:val="Standard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Standarduser">
    <w:name w:val="Standard (user)"/>
    <w:pPr>
      <w:suppressAutoHyphens/>
    </w:pPr>
    <w:rPr>
      <w:rFonts w:ascii="Arial" w:eastAsia="Arial" w:hAnsi="Arial" w:cs="Arial"/>
      <w:sz w:val="24"/>
      <w:szCs w:val="24"/>
      <w:lang w:val="es-ES" w:eastAsia="zh-CN" w:bidi="hi-IN"/>
    </w:rPr>
  </w:style>
  <w:style w:type="paragraph" w:styleId="Prrafodelista">
    <w:name w:val="List Paragraph"/>
    <w:basedOn w:val="Standard"/>
    <w:pPr>
      <w:ind w:left="720"/>
    </w:pPr>
  </w:style>
  <w:style w:type="paragraph" w:styleId="Textocomentario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paragraph" w:styleId="Textodeglobo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EncabezadoCar">
    <w:name w:val="Encabezado Car"/>
    <w:basedOn w:val="Fuentedeprrafopredeter"/>
  </w:style>
  <w:style w:type="character" w:customStyle="1" w:styleId="PiedepginaCar">
    <w:name w:val="Pie de página Car"/>
    <w:basedOn w:val="Fuentedeprrafopredeter"/>
  </w:style>
  <w:style w:type="character" w:styleId="Refdecomentario">
    <w:name w:val="annotation reference"/>
    <w:basedOn w:val="Fuentedeprrafopredeter"/>
    <w:rPr>
      <w:sz w:val="16"/>
      <w:szCs w:val="16"/>
    </w:rPr>
  </w:style>
  <w:style w:type="character" w:customStyle="1" w:styleId="TextocomentarioCar">
    <w:name w:val="Texto comentario Car"/>
    <w:basedOn w:val="Fuentedeprrafopredeter"/>
    <w:rPr>
      <w:sz w:val="20"/>
      <w:szCs w:val="20"/>
    </w:rPr>
  </w:style>
  <w:style w:type="character" w:customStyle="1" w:styleId="AsuntodelcomentarioCar">
    <w:name w:val="Asunto del comentario Car"/>
    <w:basedOn w:val="TextocomentarioCar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rPr>
      <w:rFonts w:ascii="Segoe UI" w:eastAsia="Segoe UI" w:hAnsi="Segoe UI" w:cs="Segoe UI"/>
      <w:sz w:val="18"/>
      <w:szCs w:val="18"/>
    </w:rPr>
  </w:style>
  <w:style w:type="character" w:customStyle="1" w:styleId="ListLabel1">
    <w:name w:val="ListLabel 1"/>
    <w:rPr>
      <w:rFonts w:eastAsia="Calibri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numbering" w:customStyle="1" w:styleId="Sinlista1">
    <w:name w:val="Sin lista1"/>
    <w:basedOn w:val="Sinlista"/>
    <w:pPr>
      <w:numPr>
        <w:numId w:val="1"/>
      </w:numPr>
    </w:pPr>
  </w:style>
  <w:style w:type="numbering" w:customStyle="1" w:styleId="WWNum1">
    <w:name w:val="WWNum1"/>
    <w:basedOn w:val="Sinlista"/>
    <w:pPr>
      <w:numPr>
        <w:numId w:val="2"/>
      </w:numPr>
    </w:pPr>
  </w:style>
  <w:style w:type="numbering" w:customStyle="1" w:styleId="WWNum2">
    <w:name w:val="WWNum2"/>
    <w:basedOn w:val="Sinlista"/>
    <w:pPr>
      <w:numPr>
        <w:numId w:val="3"/>
      </w:numPr>
    </w:pPr>
  </w:style>
  <w:style w:type="character" w:styleId="Hipervnculo">
    <w:name w:val="Hyperlink"/>
    <w:basedOn w:val="Fuentedeprrafopredeter"/>
    <w:uiPriority w:val="99"/>
    <w:unhideWhenUsed/>
    <w:rsid w:val="00EA083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A08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yhantca@fcien.edu.u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morales@fcien.edu.u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1751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Santiago</dc:creator>
  <cp:lastModifiedBy>Manuela Morales Demarco</cp:lastModifiedBy>
  <cp:revision>6</cp:revision>
  <cp:lastPrinted>2023-04-25T15:05:00Z</cp:lastPrinted>
  <dcterms:created xsi:type="dcterms:W3CDTF">2024-11-27T18:10:00Z</dcterms:created>
  <dcterms:modified xsi:type="dcterms:W3CDTF">2024-11-29T16:13:00Z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